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38" w:rsidRDefault="00834238">
      <w:pPr>
        <w:rPr>
          <w:rFonts w:ascii="仿宋" w:eastAsia="仿宋" w:hAnsi="仿宋"/>
          <w:b/>
          <w:sz w:val="28"/>
          <w:szCs w:val="24"/>
        </w:rPr>
      </w:pPr>
    </w:p>
    <w:p w:rsidR="00F95A71" w:rsidRDefault="00507AF3" w:rsidP="00491D3A">
      <w:pPr>
        <w:jc w:val="center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我国</w:t>
      </w:r>
      <w:r w:rsidR="00F95A71">
        <w:rPr>
          <w:rFonts w:ascii="仿宋" w:eastAsia="仿宋" w:hAnsi="仿宋" w:hint="eastAsia"/>
          <w:b/>
          <w:sz w:val="28"/>
          <w:szCs w:val="24"/>
        </w:rPr>
        <w:t>智能终端芯片发展</w:t>
      </w:r>
      <w:r w:rsidR="00A76392">
        <w:rPr>
          <w:rFonts w:ascii="仿宋" w:eastAsia="仿宋" w:hAnsi="仿宋" w:hint="eastAsia"/>
          <w:b/>
          <w:sz w:val="28"/>
          <w:szCs w:val="24"/>
        </w:rPr>
        <w:t>态势</w:t>
      </w:r>
      <w:r w:rsidR="00491D3A">
        <w:rPr>
          <w:rFonts w:ascii="仿宋" w:eastAsia="仿宋" w:hAnsi="仿宋" w:hint="eastAsia"/>
          <w:b/>
          <w:sz w:val="28"/>
          <w:szCs w:val="24"/>
        </w:rPr>
        <w:t>分析</w:t>
      </w:r>
    </w:p>
    <w:p w:rsidR="00C762F1" w:rsidRPr="00D73E6B" w:rsidRDefault="00C762F1" w:rsidP="00F7650B">
      <w:pPr>
        <w:ind w:firstLine="560"/>
        <w:rPr>
          <w:rFonts w:ascii="仿宋" w:eastAsia="仿宋" w:hAnsi="仿宋"/>
          <w:sz w:val="28"/>
          <w:szCs w:val="24"/>
        </w:rPr>
      </w:pPr>
      <w:r w:rsidRPr="00D73E6B">
        <w:rPr>
          <w:rFonts w:ascii="仿宋" w:eastAsia="仿宋" w:hAnsi="仿宋" w:hint="eastAsia"/>
          <w:sz w:val="28"/>
          <w:szCs w:val="24"/>
        </w:rPr>
        <w:t>2015</w:t>
      </w:r>
      <w:r w:rsidR="00245082">
        <w:rPr>
          <w:rFonts w:ascii="仿宋" w:eastAsia="仿宋" w:hAnsi="仿宋" w:hint="eastAsia"/>
          <w:sz w:val="28"/>
          <w:szCs w:val="24"/>
        </w:rPr>
        <w:t>年</w:t>
      </w:r>
      <w:r w:rsidR="00746122">
        <w:rPr>
          <w:rFonts w:ascii="仿宋" w:eastAsia="仿宋" w:hAnsi="仿宋" w:hint="eastAsia"/>
          <w:sz w:val="28"/>
          <w:szCs w:val="24"/>
        </w:rPr>
        <w:t>，</w:t>
      </w:r>
      <w:r w:rsidR="00245082">
        <w:rPr>
          <w:rFonts w:ascii="仿宋" w:eastAsia="仿宋" w:hAnsi="仿宋" w:hint="eastAsia"/>
          <w:sz w:val="28"/>
          <w:szCs w:val="24"/>
        </w:rPr>
        <w:t>随着智能手机</w:t>
      </w:r>
      <w:r w:rsidRPr="00D73E6B">
        <w:rPr>
          <w:rFonts w:ascii="仿宋" w:eastAsia="仿宋" w:hAnsi="仿宋" w:hint="eastAsia"/>
          <w:sz w:val="28"/>
          <w:szCs w:val="24"/>
        </w:rPr>
        <w:t>市场发展放缓，</w:t>
      </w:r>
      <w:r w:rsidR="004C4514">
        <w:rPr>
          <w:rFonts w:ascii="仿宋" w:eastAsia="仿宋" w:hAnsi="仿宋" w:hint="eastAsia"/>
          <w:sz w:val="28"/>
          <w:szCs w:val="24"/>
        </w:rPr>
        <w:t>全球</w:t>
      </w:r>
      <w:r w:rsidRPr="00D73E6B">
        <w:rPr>
          <w:rFonts w:ascii="仿宋" w:eastAsia="仿宋" w:hAnsi="仿宋" w:hint="eastAsia"/>
          <w:sz w:val="28"/>
          <w:szCs w:val="24"/>
        </w:rPr>
        <w:t>移</w:t>
      </w:r>
      <w:r w:rsidR="00D06C7F">
        <w:rPr>
          <w:rFonts w:ascii="仿宋" w:eastAsia="仿宋" w:hAnsi="仿宋" w:hint="eastAsia"/>
          <w:sz w:val="28"/>
          <w:szCs w:val="24"/>
        </w:rPr>
        <w:t>动芯片出货量增速下降至</w:t>
      </w:r>
      <w:proofErr w:type="gramStart"/>
      <w:r w:rsidR="00D06C7F">
        <w:rPr>
          <w:rFonts w:ascii="仿宋" w:eastAsia="仿宋" w:hAnsi="仿宋" w:hint="eastAsia"/>
          <w:sz w:val="28"/>
          <w:szCs w:val="24"/>
        </w:rPr>
        <w:t>个</w:t>
      </w:r>
      <w:proofErr w:type="gramEnd"/>
      <w:r w:rsidR="00D06C7F">
        <w:rPr>
          <w:rFonts w:ascii="仿宋" w:eastAsia="仿宋" w:hAnsi="仿宋" w:hint="eastAsia"/>
          <w:sz w:val="28"/>
          <w:szCs w:val="24"/>
        </w:rPr>
        <w:t>位数，我国</w:t>
      </w:r>
      <w:r w:rsidR="00213B79">
        <w:rPr>
          <w:rFonts w:ascii="仿宋" w:eastAsia="仿宋" w:hAnsi="仿宋" w:hint="eastAsia"/>
          <w:sz w:val="28"/>
          <w:szCs w:val="24"/>
        </w:rPr>
        <w:t>（不含港澳台，下同）</w:t>
      </w:r>
      <w:r w:rsidR="00D06C7F">
        <w:rPr>
          <w:rFonts w:ascii="仿宋" w:eastAsia="仿宋" w:hAnsi="仿宋" w:hint="eastAsia"/>
          <w:sz w:val="28"/>
          <w:szCs w:val="24"/>
        </w:rPr>
        <w:t>移动芯片出货增速也进一步降低，但</w:t>
      </w:r>
      <w:r w:rsidR="007F0D33">
        <w:rPr>
          <w:rFonts w:ascii="仿宋" w:eastAsia="仿宋" w:hAnsi="仿宋" w:hint="eastAsia"/>
          <w:sz w:val="28"/>
          <w:szCs w:val="24"/>
        </w:rPr>
        <w:t>仍</w:t>
      </w:r>
      <w:r w:rsidR="00D06C7F">
        <w:rPr>
          <w:rFonts w:ascii="仿宋" w:eastAsia="仿宋" w:hAnsi="仿宋" w:hint="eastAsia"/>
          <w:sz w:val="28"/>
          <w:szCs w:val="24"/>
        </w:rPr>
        <w:t>高于全球增速</w:t>
      </w:r>
      <w:r w:rsidR="00245082">
        <w:rPr>
          <w:rFonts w:ascii="仿宋" w:eastAsia="仿宋" w:hAnsi="仿宋" w:hint="eastAsia"/>
          <w:sz w:val="28"/>
          <w:szCs w:val="24"/>
        </w:rPr>
        <w:t>。</w:t>
      </w:r>
      <w:r w:rsidR="00DE6D59">
        <w:rPr>
          <w:rFonts w:ascii="仿宋" w:eastAsia="仿宋" w:hAnsi="仿宋" w:hint="eastAsia"/>
          <w:sz w:val="28"/>
          <w:szCs w:val="24"/>
        </w:rPr>
        <w:t>我国4G业务的全面开展，推动4G芯片出货快速增长</w:t>
      </w:r>
      <w:r w:rsidR="00F31348">
        <w:rPr>
          <w:rFonts w:ascii="仿宋" w:eastAsia="仿宋" w:hAnsi="仿宋" w:hint="eastAsia"/>
          <w:sz w:val="28"/>
          <w:szCs w:val="24"/>
        </w:rPr>
        <w:t>，</w:t>
      </w:r>
      <w:r w:rsidR="00FE665E">
        <w:rPr>
          <w:rFonts w:ascii="仿宋" w:eastAsia="仿宋" w:hAnsi="仿宋" w:hint="eastAsia"/>
          <w:sz w:val="28"/>
          <w:szCs w:val="24"/>
        </w:rPr>
        <w:t>国</w:t>
      </w:r>
      <w:r w:rsidR="00996443">
        <w:rPr>
          <w:rFonts w:ascii="仿宋" w:eastAsia="仿宋" w:hAnsi="仿宋" w:hint="eastAsia"/>
          <w:sz w:val="28"/>
          <w:szCs w:val="24"/>
        </w:rPr>
        <w:t>内</w:t>
      </w:r>
      <w:r w:rsidR="00FE665E">
        <w:rPr>
          <w:rFonts w:ascii="仿宋" w:eastAsia="仿宋" w:hAnsi="仿宋" w:hint="eastAsia"/>
          <w:sz w:val="28"/>
          <w:szCs w:val="24"/>
        </w:rPr>
        <w:t>芯片</w:t>
      </w:r>
      <w:r w:rsidR="00023F25">
        <w:rPr>
          <w:rFonts w:ascii="仿宋" w:eastAsia="仿宋" w:hAnsi="仿宋" w:hint="eastAsia"/>
          <w:sz w:val="28"/>
          <w:szCs w:val="24"/>
        </w:rPr>
        <w:t>厂商</w:t>
      </w:r>
      <w:r w:rsidR="00245082">
        <w:rPr>
          <w:rFonts w:ascii="仿宋" w:eastAsia="仿宋" w:hAnsi="仿宋" w:hint="eastAsia"/>
          <w:sz w:val="28"/>
          <w:szCs w:val="24"/>
        </w:rPr>
        <w:t>围绕多模4G芯片发力，在国内市场</w:t>
      </w:r>
      <w:r w:rsidR="00AE4C0B">
        <w:rPr>
          <w:rFonts w:ascii="仿宋" w:eastAsia="仿宋" w:hAnsi="仿宋" w:hint="eastAsia"/>
          <w:sz w:val="28"/>
          <w:szCs w:val="24"/>
        </w:rPr>
        <w:t>中的</w:t>
      </w:r>
      <w:r w:rsidR="00F7650B">
        <w:rPr>
          <w:rFonts w:ascii="仿宋" w:eastAsia="仿宋" w:hAnsi="仿宋" w:hint="eastAsia"/>
          <w:sz w:val="28"/>
          <w:szCs w:val="24"/>
        </w:rPr>
        <w:t>占比不断提升，</w:t>
      </w:r>
      <w:r w:rsidR="00AE4C0B">
        <w:rPr>
          <w:rFonts w:ascii="仿宋" w:eastAsia="仿宋" w:hAnsi="仿宋" w:hint="eastAsia"/>
          <w:sz w:val="28"/>
          <w:szCs w:val="24"/>
        </w:rPr>
        <w:t>从2014年</w:t>
      </w:r>
      <w:r w:rsidR="00023F25">
        <w:rPr>
          <w:rFonts w:ascii="仿宋" w:eastAsia="仿宋" w:hAnsi="仿宋" w:hint="eastAsia"/>
          <w:sz w:val="28"/>
          <w:szCs w:val="24"/>
        </w:rPr>
        <w:t>初的0.5%</w:t>
      </w:r>
      <w:r w:rsidR="00AE4C0B">
        <w:rPr>
          <w:rFonts w:ascii="仿宋" w:eastAsia="仿宋" w:hAnsi="仿宋" w:hint="eastAsia"/>
          <w:sz w:val="28"/>
          <w:szCs w:val="24"/>
        </w:rPr>
        <w:t>增至</w:t>
      </w:r>
      <w:r w:rsidR="00F7650B">
        <w:rPr>
          <w:rFonts w:ascii="仿宋" w:eastAsia="仿宋" w:hAnsi="仿宋" w:hint="eastAsia"/>
          <w:sz w:val="28"/>
          <w:szCs w:val="24"/>
        </w:rPr>
        <w:t>2015</w:t>
      </w:r>
      <w:r w:rsidR="00AE4C0B">
        <w:rPr>
          <w:rFonts w:ascii="仿宋" w:eastAsia="仿宋" w:hAnsi="仿宋" w:hint="eastAsia"/>
          <w:sz w:val="28"/>
          <w:szCs w:val="24"/>
        </w:rPr>
        <w:t>年的</w:t>
      </w:r>
      <w:r w:rsidR="00FE665E">
        <w:rPr>
          <w:rFonts w:ascii="仿宋" w:eastAsia="仿宋" w:hAnsi="仿宋" w:hint="eastAsia"/>
          <w:sz w:val="28"/>
          <w:szCs w:val="24"/>
        </w:rPr>
        <w:t>10%</w:t>
      </w:r>
      <w:r w:rsidR="00AE4C0B">
        <w:rPr>
          <w:rFonts w:ascii="仿宋" w:eastAsia="仿宋" w:hAnsi="仿宋" w:hint="eastAsia"/>
          <w:sz w:val="28"/>
          <w:szCs w:val="24"/>
        </w:rPr>
        <w:t>以上</w:t>
      </w:r>
      <w:r w:rsidR="00981100" w:rsidRPr="00D73E6B">
        <w:rPr>
          <w:rFonts w:ascii="仿宋" w:eastAsia="仿宋" w:hAnsi="仿宋" w:hint="eastAsia"/>
          <w:sz w:val="28"/>
          <w:szCs w:val="24"/>
        </w:rPr>
        <w:t>。</w:t>
      </w:r>
      <w:r w:rsidR="00AA1454">
        <w:rPr>
          <w:rFonts w:ascii="仿宋" w:eastAsia="仿宋" w:hAnsi="仿宋" w:hint="eastAsia"/>
          <w:sz w:val="28"/>
          <w:szCs w:val="24"/>
        </w:rPr>
        <w:t>国内外多家</w:t>
      </w:r>
      <w:r w:rsidR="00174C28">
        <w:rPr>
          <w:rFonts w:ascii="仿宋" w:eastAsia="仿宋" w:hAnsi="仿宋" w:hint="eastAsia"/>
          <w:sz w:val="28"/>
          <w:szCs w:val="24"/>
        </w:rPr>
        <w:t>厂商围绕多模芯片展开竞争，打破垄断态势，推动</w:t>
      </w:r>
      <w:r w:rsidR="00AA1454">
        <w:rPr>
          <w:rFonts w:ascii="仿宋" w:eastAsia="仿宋" w:hAnsi="仿宋" w:hint="eastAsia"/>
          <w:sz w:val="28"/>
          <w:szCs w:val="24"/>
        </w:rPr>
        <w:t>国内市场</w:t>
      </w:r>
      <w:r w:rsidR="00174C28">
        <w:rPr>
          <w:rFonts w:ascii="仿宋" w:eastAsia="仿宋" w:hAnsi="仿宋" w:hint="eastAsia"/>
          <w:sz w:val="28"/>
          <w:szCs w:val="24"/>
        </w:rPr>
        <w:t>全模手机价格快速下降和普及率提升。</w:t>
      </w:r>
      <w:r w:rsidR="003E5C84">
        <w:rPr>
          <w:rFonts w:ascii="仿宋" w:eastAsia="仿宋" w:hAnsi="仿宋" w:hint="eastAsia"/>
          <w:sz w:val="28"/>
          <w:szCs w:val="24"/>
        </w:rPr>
        <w:t>多核依旧是</w:t>
      </w:r>
      <w:r w:rsidR="00AA1454">
        <w:rPr>
          <w:rFonts w:ascii="仿宋" w:eastAsia="仿宋" w:hAnsi="仿宋" w:hint="eastAsia"/>
          <w:sz w:val="28"/>
          <w:szCs w:val="24"/>
        </w:rPr>
        <w:t>国内外</w:t>
      </w:r>
      <w:r w:rsidR="003E5C84">
        <w:rPr>
          <w:rFonts w:ascii="仿宋" w:eastAsia="仿宋" w:hAnsi="仿宋" w:hint="eastAsia"/>
          <w:sz w:val="28"/>
          <w:szCs w:val="24"/>
        </w:rPr>
        <w:t>芯片厂商竞争焦点，</w:t>
      </w:r>
      <w:r w:rsidR="00996443">
        <w:rPr>
          <w:rFonts w:ascii="仿宋" w:eastAsia="仿宋" w:hAnsi="仿宋" w:hint="eastAsia"/>
          <w:sz w:val="28"/>
          <w:szCs w:val="24"/>
        </w:rPr>
        <w:t>国内</w:t>
      </w:r>
      <w:r w:rsidR="003E5C84">
        <w:rPr>
          <w:rFonts w:ascii="仿宋" w:eastAsia="仿宋" w:hAnsi="仿宋" w:hint="eastAsia"/>
          <w:sz w:val="28"/>
          <w:szCs w:val="24"/>
        </w:rPr>
        <w:t>手机处理器市场正从</w:t>
      </w:r>
      <w:proofErr w:type="gramStart"/>
      <w:r w:rsidR="003E5C84">
        <w:rPr>
          <w:rFonts w:ascii="仿宋" w:eastAsia="仿宋" w:hAnsi="仿宋" w:hint="eastAsia"/>
          <w:sz w:val="28"/>
          <w:szCs w:val="24"/>
        </w:rPr>
        <w:t>以四核为主</w:t>
      </w:r>
      <w:proofErr w:type="gramEnd"/>
      <w:r w:rsidR="003E5C84">
        <w:rPr>
          <w:rFonts w:ascii="仿宋" w:eastAsia="仿宋" w:hAnsi="仿宋" w:hint="eastAsia"/>
          <w:sz w:val="28"/>
          <w:szCs w:val="24"/>
        </w:rPr>
        <w:t>向</w:t>
      </w:r>
      <w:proofErr w:type="gramStart"/>
      <w:r w:rsidR="003E5C84">
        <w:rPr>
          <w:rFonts w:ascii="仿宋" w:eastAsia="仿宋" w:hAnsi="仿宋" w:hint="eastAsia"/>
          <w:sz w:val="28"/>
          <w:szCs w:val="24"/>
        </w:rPr>
        <w:t>八核快速</w:t>
      </w:r>
      <w:proofErr w:type="gramEnd"/>
      <w:r w:rsidR="003E5C84">
        <w:rPr>
          <w:rFonts w:ascii="仿宋" w:eastAsia="仿宋" w:hAnsi="仿宋" w:hint="eastAsia"/>
          <w:sz w:val="28"/>
          <w:szCs w:val="24"/>
        </w:rPr>
        <w:t>演进。</w:t>
      </w:r>
    </w:p>
    <w:p w:rsidR="0088353D" w:rsidRPr="00B34334" w:rsidRDefault="00352BFD">
      <w:pPr>
        <w:rPr>
          <w:rFonts w:ascii="仿宋" w:eastAsia="仿宋" w:hAnsi="仿宋"/>
          <w:b/>
          <w:sz w:val="28"/>
          <w:szCs w:val="24"/>
        </w:rPr>
      </w:pPr>
      <w:r w:rsidRPr="00B34334">
        <w:rPr>
          <w:rFonts w:ascii="仿宋" w:eastAsia="仿宋" w:hAnsi="仿宋" w:hint="eastAsia"/>
          <w:b/>
          <w:sz w:val="28"/>
          <w:szCs w:val="24"/>
        </w:rPr>
        <w:t>一、</w:t>
      </w:r>
      <w:r w:rsidR="00EE55CC" w:rsidRPr="00B34334">
        <w:rPr>
          <w:rFonts w:ascii="仿宋" w:eastAsia="仿宋" w:hAnsi="仿宋" w:hint="eastAsia"/>
          <w:b/>
          <w:sz w:val="28"/>
          <w:szCs w:val="24"/>
        </w:rPr>
        <w:t>智能终端</w:t>
      </w:r>
      <w:r w:rsidRPr="00B34334">
        <w:rPr>
          <w:rFonts w:ascii="仿宋" w:eastAsia="仿宋" w:hAnsi="仿宋" w:hint="eastAsia"/>
          <w:b/>
          <w:sz w:val="28"/>
          <w:szCs w:val="24"/>
        </w:rPr>
        <w:t>芯片</w:t>
      </w:r>
      <w:r w:rsidR="006F7924" w:rsidRPr="00B34334">
        <w:rPr>
          <w:rFonts w:ascii="仿宋" w:eastAsia="仿宋" w:hAnsi="仿宋" w:hint="eastAsia"/>
          <w:b/>
          <w:sz w:val="28"/>
          <w:szCs w:val="24"/>
        </w:rPr>
        <w:t>增</w:t>
      </w:r>
      <w:r w:rsidR="00BB3973">
        <w:rPr>
          <w:rFonts w:ascii="仿宋" w:eastAsia="仿宋" w:hAnsi="仿宋" w:hint="eastAsia"/>
          <w:b/>
          <w:sz w:val="28"/>
          <w:szCs w:val="24"/>
        </w:rPr>
        <w:t>速大幅下滑</w:t>
      </w:r>
    </w:p>
    <w:p w:rsidR="009929FD" w:rsidRPr="00EC747D" w:rsidRDefault="001F27F3" w:rsidP="00EC747D">
      <w:pPr>
        <w:ind w:firstLine="560"/>
        <w:rPr>
          <w:rFonts w:ascii="仿宋" w:eastAsia="仿宋" w:hAnsi="仿宋"/>
          <w:sz w:val="28"/>
          <w:szCs w:val="24"/>
        </w:rPr>
      </w:pPr>
      <w:r w:rsidRPr="00EC747D">
        <w:rPr>
          <w:rFonts w:ascii="仿宋" w:eastAsia="仿宋" w:hAnsi="仿宋" w:hint="eastAsia"/>
          <w:sz w:val="28"/>
          <w:szCs w:val="24"/>
        </w:rPr>
        <w:t>2015年</w:t>
      </w:r>
      <w:r w:rsidR="00746122">
        <w:rPr>
          <w:rFonts w:ascii="仿宋" w:eastAsia="仿宋" w:hAnsi="仿宋" w:hint="eastAsia"/>
          <w:sz w:val="28"/>
          <w:szCs w:val="24"/>
        </w:rPr>
        <w:t>，</w:t>
      </w:r>
      <w:r w:rsidRPr="00EC747D">
        <w:rPr>
          <w:rFonts w:ascii="仿宋" w:eastAsia="仿宋" w:hAnsi="仿宋" w:hint="eastAsia"/>
          <w:sz w:val="28"/>
          <w:szCs w:val="24"/>
        </w:rPr>
        <w:t>随着全球</w:t>
      </w:r>
      <w:r w:rsidR="00DB25A9">
        <w:rPr>
          <w:rFonts w:ascii="仿宋" w:eastAsia="仿宋" w:hAnsi="仿宋" w:hint="eastAsia"/>
          <w:sz w:val="28"/>
          <w:szCs w:val="24"/>
        </w:rPr>
        <w:t>主要</w:t>
      </w:r>
      <w:r w:rsidRPr="00EC747D">
        <w:rPr>
          <w:rFonts w:ascii="仿宋" w:eastAsia="仿宋" w:hAnsi="仿宋" w:hint="eastAsia"/>
          <w:sz w:val="28"/>
          <w:szCs w:val="24"/>
        </w:rPr>
        <w:t>市场</w:t>
      </w:r>
      <w:r w:rsidR="00A62C71" w:rsidRPr="00EC747D">
        <w:rPr>
          <w:rFonts w:ascii="仿宋" w:eastAsia="仿宋" w:hAnsi="仿宋" w:hint="eastAsia"/>
          <w:sz w:val="28"/>
          <w:szCs w:val="24"/>
        </w:rPr>
        <w:t>趋于</w:t>
      </w:r>
      <w:r w:rsidR="00DB25A9">
        <w:rPr>
          <w:rFonts w:ascii="仿宋" w:eastAsia="仿宋" w:hAnsi="仿宋" w:hint="eastAsia"/>
          <w:sz w:val="28"/>
          <w:szCs w:val="24"/>
        </w:rPr>
        <w:t>饱和，智能终端进入增长滞缓</w:t>
      </w:r>
      <w:r w:rsidRPr="00EC747D">
        <w:rPr>
          <w:rFonts w:ascii="仿宋" w:eastAsia="仿宋" w:hAnsi="仿宋" w:hint="eastAsia"/>
          <w:sz w:val="28"/>
          <w:szCs w:val="24"/>
        </w:rPr>
        <w:t>期，直接影响了包括芯片在内的供应</w:t>
      </w:r>
      <w:proofErr w:type="gramStart"/>
      <w:r w:rsidRPr="00EC747D">
        <w:rPr>
          <w:rFonts w:ascii="仿宋" w:eastAsia="仿宋" w:hAnsi="仿宋" w:hint="eastAsia"/>
          <w:sz w:val="28"/>
          <w:szCs w:val="24"/>
        </w:rPr>
        <w:t>链市场</w:t>
      </w:r>
      <w:proofErr w:type="gramEnd"/>
      <w:r w:rsidRPr="00EC747D">
        <w:rPr>
          <w:rFonts w:ascii="仿宋" w:eastAsia="仿宋" w:hAnsi="仿宋" w:hint="eastAsia"/>
          <w:sz w:val="28"/>
          <w:szCs w:val="24"/>
        </w:rPr>
        <w:t>的表现。</w:t>
      </w:r>
      <w:r w:rsidR="00352BFD" w:rsidRPr="00EC747D">
        <w:rPr>
          <w:rFonts w:ascii="仿宋" w:eastAsia="仿宋" w:hAnsi="仿宋" w:hint="eastAsia"/>
          <w:sz w:val="28"/>
          <w:szCs w:val="24"/>
        </w:rPr>
        <w:t>全球</w:t>
      </w:r>
      <w:r w:rsidR="00136BFF" w:rsidRPr="00EC747D">
        <w:rPr>
          <w:rFonts w:ascii="仿宋" w:eastAsia="仿宋" w:hAnsi="仿宋" w:hint="eastAsia"/>
          <w:sz w:val="28"/>
          <w:szCs w:val="24"/>
        </w:rPr>
        <w:t>智能手机基带芯片出货量</w:t>
      </w:r>
      <w:r w:rsidR="00EA4744" w:rsidRPr="00EC747D">
        <w:rPr>
          <w:rFonts w:ascii="仿宋" w:eastAsia="仿宋" w:hAnsi="仿宋" w:hint="eastAsia"/>
          <w:sz w:val="28"/>
          <w:szCs w:val="24"/>
        </w:rPr>
        <w:t>突破14亿，但</w:t>
      </w:r>
      <w:r w:rsidR="00783A62" w:rsidRPr="00EC747D">
        <w:rPr>
          <w:rFonts w:ascii="仿宋" w:eastAsia="仿宋" w:hAnsi="仿宋" w:hint="eastAsia"/>
          <w:sz w:val="28"/>
          <w:szCs w:val="24"/>
        </w:rPr>
        <w:t>增速下降至</w:t>
      </w:r>
      <w:proofErr w:type="gramStart"/>
      <w:r w:rsidR="00783A62" w:rsidRPr="00EC747D">
        <w:rPr>
          <w:rFonts w:ascii="仿宋" w:eastAsia="仿宋" w:hAnsi="仿宋" w:hint="eastAsia"/>
          <w:sz w:val="28"/>
          <w:szCs w:val="24"/>
        </w:rPr>
        <w:t>个</w:t>
      </w:r>
      <w:proofErr w:type="gramEnd"/>
      <w:r w:rsidR="00783A62" w:rsidRPr="00EC747D">
        <w:rPr>
          <w:rFonts w:ascii="仿宋" w:eastAsia="仿宋" w:hAnsi="仿宋" w:hint="eastAsia"/>
          <w:sz w:val="28"/>
          <w:szCs w:val="24"/>
        </w:rPr>
        <w:t>位数（9.4%），较之2014年（25.6%）、2013年（36.5%）出现大幅放缓</w:t>
      </w:r>
      <w:r w:rsidR="00EE55CC" w:rsidRPr="00EC747D">
        <w:rPr>
          <w:rFonts w:ascii="仿宋" w:eastAsia="仿宋" w:hAnsi="仿宋" w:hint="eastAsia"/>
          <w:sz w:val="28"/>
          <w:szCs w:val="24"/>
        </w:rPr>
        <w:t>。</w:t>
      </w:r>
    </w:p>
    <w:p w:rsidR="001F27F3" w:rsidRPr="00EC747D" w:rsidRDefault="00136BFF" w:rsidP="00EC747D">
      <w:pPr>
        <w:ind w:firstLine="560"/>
        <w:rPr>
          <w:rFonts w:ascii="仿宋" w:eastAsia="仿宋" w:hAnsi="仿宋"/>
          <w:sz w:val="28"/>
          <w:szCs w:val="24"/>
        </w:rPr>
      </w:pPr>
      <w:r w:rsidRPr="00EC747D">
        <w:rPr>
          <w:rFonts w:ascii="仿宋" w:eastAsia="仿宋" w:hAnsi="仿宋" w:hint="eastAsia"/>
          <w:sz w:val="28"/>
          <w:szCs w:val="24"/>
        </w:rPr>
        <w:t>我国</w:t>
      </w:r>
      <w:r w:rsidR="00F11E3D" w:rsidRPr="00EC747D">
        <w:rPr>
          <w:rFonts w:ascii="仿宋" w:eastAsia="仿宋" w:hAnsi="仿宋" w:hint="eastAsia"/>
          <w:sz w:val="28"/>
          <w:szCs w:val="24"/>
        </w:rPr>
        <w:t>智能手机基带芯片出货量仍然保持双位数的增速（</w:t>
      </w:r>
      <w:r w:rsidRPr="00EC747D">
        <w:rPr>
          <w:rFonts w:ascii="仿宋" w:eastAsia="仿宋" w:hAnsi="仿宋" w:hint="eastAsia"/>
          <w:sz w:val="28"/>
          <w:szCs w:val="24"/>
        </w:rPr>
        <w:t>27.7%</w:t>
      </w:r>
      <w:r w:rsidR="00F11E3D" w:rsidRPr="00EC747D">
        <w:rPr>
          <w:rFonts w:ascii="仿宋" w:eastAsia="仿宋" w:hAnsi="仿宋" w:hint="eastAsia"/>
          <w:sz w:val="28"/>
          <w:szCs w:val="24"/>
        </w:rPr>
        <w:t>）</w:t>
      </w:r>
      <w:r w:rsidRPr="00EC747D">
        <w:rPr>
          <w:rFonts w:ascii="仿宋" w:eastAsia="仿宋" w:hAnsi="仿宋" w:hint="eastAsia"/>
          <w:sz w:val="28"/>
          <w:szCs w:val="24"/>
        </w:rPr>
        <w:t>，</w:t>
      </w:r>
      <w:r w:rsidR="00DB25A9">
        <w:rPr>
          <w:rFonts w:ascii="仿宋" w:eastAsia="仿宋" w:hAnsi="仿宋" w:hint="eastAsia"/>
          <w:sz w:val="28"/>
          <w:szCs w:val="24"/>
        </w:rPr>
        <w:t>但较</w:t>
      </w:r>
      <w:r w:rsidR="00F11E3D" w:rsidRPr="00EC747D">
        <w:rPr>
          <w:rFonts w:ascii="仿宋" w:eastAsia="仿宋" w:hAnsi="仿宋" w:hint="eastAsia"/>
          <w:sz w:val="28"/>
          <w:szCs w:val="24"/>
        </w:rPr>
        <w:t>2014年（44.1%）也出现大幅下滑。我国</w:t>
      </w:r>
      <w:r w:rsidR="00C12454" w:rsidRPr="00EC747D">
        <w:rPr>
          <w:rFonts w:ascii="仿宋" w:eastAsia="仿宋" w:hAnsi="仿宋" w:hint="eastAsia"/>
          <w:sz w:val="28"/>
          <w:szCs w:val="24"/>
        </w:rPr>
        <w:t>智能手机基带芯片出货量</w:t>
      </w:r>
      <w:r w:rsidR="0046217C" w:rsidRPr="00EC747D">
        <w:rPr>
          <w:rFonts w:ascii="仿宋" w:eastAsia="仿宋" w:hAnsi="仿宋" w:hint="eastAsia"/>
          <w:sz w:val="28"/>
          <w:szCs w:val="24"/>
        </w:rPr>
        <w:t>在全球范围内</w:t>
      </w:r>
      <w:r w:rsidRPr="00EC747D">
        <w:rPr>
          <w:rFonts w:ascii="仿宋" w:eastAsia="仿宋" w:hAnsi="仿宋" w:hint="eastAsia"/>
          <w:sz w:val="28"/>
          <w:szCs w:val="24"/>
        </w:rPr>
        <w:t>占比</w:t>
      </w:r>
      <w:r w:rsidR="0046217C" w:rsidRPr="00EC747D">
        <w:rPr>
          <w:rFonts w:ascii="仿宋" w:eastAsia="仿宋" w:hAnsi="仿宋" w:hint="eastAsia"/>
          <w:sz w:val="28"/>
          <w:szCs w:val="24"/>
        </w:rPr>
        <w:t>进一步提升，从2014年的</w:t>
      </w:r>
      <w:proofErr w:type="gramStart"/>
      <w:r w:rsidR="0046217C" w:rsidRPr="00EC747D">
        <w:rPr>
          <w:rFonts w:ascii="仿宋" w:eastAsia="仿宋" w:hAnsi="仿宋" w:hint="eastAsia"/>
          <w:sz w:val="28"/>
          <w:szCs w:val="24"/>
        </w:rPr>
        <w:t>不足四成</w:t>
      </w:r>
      <w:proofErr w:type="gramEnd"/>
      <w:r w:rsidR="0046217C" w:rsidRPr="00EC747D">
        <w:rPr>
          <w:rFonts w:ascii="仿宋" w:eastAsia="仿宋" w:hAnsi="仿宋" w:hint="eastAsia"/>
          <w:sz w:val="28"/>
          <w:szCs w:val="24"/>
        </w:rPr>
        <w:t>增至2015年的</w:t>
      </w:r>
      <w:r w:rsidRPr="00EC747D">
        <w:rPr>
          <w:rFonts w:ascii="仿宋" w:eastAsia="仿宋" w:hAnsi="仿宋" w:hint="eastAsia"/>
          <w:sz w:val="28"/>
          <w:szCs w:val="24"/>
        </w:rPr>
        <w:t>46%</w:t>
      </w:r>
      <w:r w:rsidR="00586A27" w:rsidRPr="00EC747D">
        <w:rPr>
          <w:rFonts w:ascii="仿宋" w:eastAsia="仿宋" w:hAnsi="仿宋" w:hint="eastAsia"/>
          <w:sz w:val="28"/>
          <w:szCs w:val="24"/>
        </w:rPr>
        <w:t>，</w:t>
      </w:r>
      <w:bookmarkStart w:id="0" w:name="OLE_LINK1"/>
      <w:bookmarkStart w:id="1" w:name="OLE_LINK2"/>
      <w:r w:rsidR="00586A27" w:rsidRPr="00EC747D">
        <w:rPr>
          <w:rFonts w:ascii="仿宋" w:eastAsia="仿宋" w:hAnsi="仿宋" w:hint="eastAsia"/>
          <w:sz w:val="28"/>
          <w:szCs w:val="24"/>
        </w:rPr>
        <w:t>凸显我国</w:t>
      </w:r>
      <w:r w:rsidR="004D5F28" w:rsidRPr="00EC747D">
        <w:rPr>
          <w:rFonts w:ascii="仿宋" w:eastAsia="仿宋" w:hAnsi="仿宋" w:hint="eastAsia"/>
          <w:sz w:val="28"/>
          <w:szCs w:val="24"/>
        </w:rPr>
        <w:t>在全球</w:t>
      </w:r>
      <w:r w:rsidR="00586A27" w:rsidRPr="00EC747D">
        <w:rPr>
          <w:rFonts w:ascii="仿宋" w:eastAsia="仿宋" w:hAnsi="仿宋" w:hint="eastAsia"/>
          <w:sz w:val="28"/>
          <w:szCs w:val="24"/>
        </w:rPr>
        <w:t>智能手机市场</w:t>
      </w:r>
      <w:r w:rsidR="004D5F28" w:rsidRPr="00EC747D">
        <w:rPr>
          <w:rFonts w:ascii="仿宋" w:eastAsia="仿宋" w:hAnsi="仿宋" w:hint="eastAsia"/>
          <w:sz w:val="28"/>
          <w:szCs w:val="24"/>
        </w:rPr>
        <w:t>中的重要地位。</w:t>
      </w:r>
    </w:p>
    <w:bookmarkEnd w:id="0"/>
    <w:bookmarkEnd w:id="1"/>
    <w:p w:rsidR="002C3E3D" w:rsidRDefault="00381BD6" w:rsidP="007B0AED">
      <w:pPr>
        <w:spacing w:before="120"/>
        <w:jc w:val="center"/>
        <w:rPr>
          <w:rFonts w:ascii="Verdana" w:hAnsi="Verdana"/>
          <w:b/>
          <w:sz w:val="20"/>
        </w:rPr>
      </w:pPr>
      <w:r>
        <w:rPr>
          <w:noProof/>
        </w:rPr>
        <w:lastRenderedPageBreak/>
        <w:drawing>
          <wp:inline distT="0" distB="0" distL="0" distR="0" wp14:anchorId="321EECA3" wp14:editId="67690287">
            <wp:extent cx="5343525" cy="2962275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0562" w:rsidRPr="00910562" w:rsidRDefault="00910562" w:rsidP="00910562">
      <w:pPr>
        <w:spacing w:before="120"/>
        <w:jc w:val="right"/>
        <w:rPr>
          <w:rFonts w:ascii="Verdana" w:hAnsi="Verdana"/>
          <w:b/>
          <w:sz w:val="20"/>
        </w:rPr>
      </w:pPr>
      <w:r w:rsidRPr="00910562">
        <w:rPr>
          <w:rFonts w:ascii="Verdana" w:hAnsi="Verdana" w:hint="eastAsia"/>
          <w:b/>
          <w:sz w:val="20"/>
        </w:rPr>
        <w:t>数据来源：</w:t>
      </w:r>
      <w:r w:rsidRPr="00910562">
        <w:rPr>
          <w:rFonts w:ascii="Verdana" w:hAnsi="Verdana" w:hint="eastAsia"/>
          <w:b/>
          <w:sz w:val="20"/>
        </w:rPr>
        <w:t>Gartner</w:t>
      </w:r>
    </w:p>
    <w:p w:rsidR="00F17065" w:rsidRDefault="00F17065" w:rsidP="00F17065">
      <w:pPr>
        <w:jc w:val="center"/>
        <w:rPr>
          <w:sz w:val="36"/>
          <w:szCs w:val="36"/>
        </w:rPr>
      </w:pPr>
    </w:p>
    <w:p w:rsidR="00681108" w:rsidRDefault="002939CA" w:rsidP="00681108">
      <w:pPr>
        <w:spacing w:before="120"/>
        <w:jc w:val="center"/>
        <w:rPr>
          <w:rFonts w:ascii="Verdana" w:hAnsi="Verdana"/>
          <w:b/>
          <w:sz w:val="20"/>
        </w:rPr>
      </w:pPr>
      <w:r>
        <w:rPr>
          <w:noProof/>
        </w:rPr>
        <w:drawing>
          <wp:inline distT="0" distB="0" distL="0" distR="0" wp14:anchorId="0A056844" wp14:editId="0C7DBA32">
            <wp:extent cx="2933700" cy="2667000"/>
            <wp:effectExtent l="0" t="0" r="0" b="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1108" w:rsidRPr="00910562" w:rsidRDefault="00681108" w:rsidP="00681108">
      <w:pPr>
        <w:spacing w:before="120"/>
        <w:jc w:val="right"/>
        <w:rPr>
          <w:rFonts w:ascii="Verdana" w:hAnsi="Verdana"/>
          <w:b/>
          <w:sz w:val="20"/>
        </w:rPr>
      </w:pPr>
      <w:r w:rsidRPr="00910562">
        <w:rPr>
          <w:rFonts w:ascii="Verdana" w:hAnsi="Verdana" w:hint="eastAsia"/>
          <w:b/>
          <w:sz w:val="20"/>
        </w:rPr>
        <w:t>数据来源：</w:t>
      </w:r>
      <w:r w:rsidRPr="00910562">
        <w:rPr>
          <w:rFonts w:ascii="Verdana" w:hAnsi="Verdana" w:hint="eastAsia"/>
          <w:b/>
          <w:sz w:val="20"/>
        </w:rPr>
        <w:t>Gartner</w:t>
      </w:r>
    </w:p>
    <w:p w:rsidR="002C4697" w:rsidRDefault="00A65D0F" w:rsidP="00E70C84">
      <w:pPr>
        <w:ind w:firstLine="560"/>
        <w:rPr>
          <w:rFonts w:ascii="仿宋" w:eastAsia="仿宋" w:hAnsi="仿宋"/>
          <w:sz w:val="28"/>
          <w:szCs w:val="24"/>
        </w:rPr>
      </w:pPr>
      <w:r w:rsidRPr="003C6537">
        <w:rPr>
          <w:rFonts w:ascii="仿宋" w:eastAsia="仿宋" w:hAnsi="仿宋" w:hint="eastAsia"/>
          <w:sz w:val="28"/>
          <w:szCs w:val="24"/>
        </w:rPr>
        <w:t>国际</w:t>
      </w:r>
      <w:r w:rsidR="00CB5260" w:rsidRPr="003C6537">
        <w:rPr>
          <w:rFonts w:ascii="仿宋" w:eastAsia="仿宋" w:hAnsi="仿宋" w:hint="eastAsia"/>
          <w:sz w:val="28"/>
          <w:szCs w:val="24"/>
        </w:rPr>
        <w:t>和</w:t>
      </w:r>
      <w:r w:rsidR="001D15E0">
        <w:rPr>
          <w:rFonts w:ascii="仿宋" w:eastAsia="仿宋" w:hAnsi="仿宋" w:hint="eastAsia"/>
          <w:sz w:val="28"/>
          <w:szCs w:val="24"/>
        </w:rPr>
        <w:t>国内</w:t>
      </w:r>
      <w:r w:rsidR="00CB5260" w:rsidRPr="003C6537">
        <w:rPr>
          <w:rFonts w:ascii="仿宋" w:eastAsia="仿宋" w:hAnsi="仿宋" w:hint="eastAsia"/>
          <w:sz w:val="28"/>
          <w:szCs w:val="24"/>
        </w:rPr>
        <w:t>厂商呈现此消彼长之势。国际</w:t>
      </w:r>
      <w:r w:rsidR="00213B79">
        <w:rPr>
          <w:rFonts w:ascii="仿宋" w:eastAsia="仿宋" w:hAnsi="仿宋" w:hint="eastAsia"/>
          <w:sz w:val="28"/>
          <w:szCs w:val="24"/>
        </w:rPr>
        <w:t>主要移动芯片厂商</w:t>
      </w:r>
      <w:r w:rsidRPr="003C6537">
        <w:rPr>
          <w:rFonts w:ascii="仿宋" w:eastAsia="仿宋" w:hAnsi="仿宋" w:hint="eastAsia"/>
          <w:sz w:val="28"/>
          <w:szCs w:val="24"/>
        </w:rPr>
        <w:t>上涨乏力，</w:t>
      </w:r>
      <w:r>
        <w:rPr>
          <w:rFonts w:ascii="仿宋" w:eastAsia="仿宋" w:hAnsi="仿宋" w:hint="eastAsia"/>
          <w:sz w:val="28"/>
          <w:szCs w:val="24"/>
        </w:rPr>
        <w:t>受到</w:t>
      </w:r>
      <w:proofErr w:type="gramStart"/>
      <w:r>
        <w:rPr>
          <w:rFonts w:ascii="仿宋" w:eastAsia="仿宋" w:hAnsi="仿宋" w:hint="eastAsia"/>
          <w:sz w:val="28"/>
          <w:szCs w:val="24"/>
        </w:rPr>
        <w:t>骁</w:t>
      </w:r>
      <w:proofErr w:type="gramEnd"/>
      <w:r>
        <w:rPr>
          <w:rFonts w:ascii="仿宋" w:eastAsia="仿宋" w:hAnsi="仿宋" w:hint="eastAsia"/>
          <w:sz w:val="28"/>
          <w:szCs w:val="24"/>
        </w:rPr>
        <w:t>龙810发热</w:t>
      </w:r>
      <w:r w:rsidR="00B11854">
        <w:rPr>
          <w:rFonts w:ascii="仿宋" w:eastAsia="仿宋" w:hAnsi="仿宋" w:hint="eastAsia"/>
          <w:sz w:val="28"/>
          <w:szCs w:val="24"/>
        </w:rPr>
        <w:t>问题</w:t>
      </w:r>
      <w:r>
        <w:rPr>
          <w:rFonts w:ascii="仿宋" w:eastAsia="仿宋" w:hAnsi="仿宋" w:hint="eastAsia"/>
          <w:sz w:val="28"/>
          <w:szCs w:val="24"/>
        </w:rPr>
        <w:t>及</w:t>
      </w:r>
      <w:r w:rsidR="00B11854">
        <w:rPr>
          <w:rFonts w:ascii="仿宋" w:eastAsia="仿宋" w:hAnsi="仿宋" w:hint="eastAsia"/>
          <w:sz w:val="28"/>
          <w:szCs w:val="24"/>
        </w:rPr>
        <w:t>三星</w:t>
      </w:r>
      <w:r>
        <w:rPr>
          <w:rFonts w:ascii="仿宋" w:eastAsia="仿宋" w:hAnsi="仿宋" w:hint="eastAsia"/>
          <w:sz w:val="28"/>
          <w:szCs w:val="24"/>
        </w:rPr>
        <w:t>等</w:t>
      </w:r>
      <w:r w:rsidR="00B11854">
        <w:rPr>
          <w:rFonts w:ascii="仿宋" w:eastAsia="仿宋" w:hAnsi="仿宋" w:hint="eastAsia"/>
          <w:sz w:val="28"/>
          <w:szCs w:val="24"/>
        </w:rPr>
        <w:t>大客户加大芯片自给力度</w:t>
      </w:r>
      <w:r>
        <w:rPr>
          <w:rFonts w:ascii="仿宋" w:eastAsia="仿宋" w:hAnsi="仿宋" w:hint="eastAsia"/>
          <w:sz w:val="28"/>
          <w:szCs w:val="24"/>
        </w:rPr>
        <w:t>影响，</w:t>
      </w:r>
      <w:proofErr w:type="gramStart"/>
      <w:r w:rsidR="00E36FF1" w:rsidRPr="00EC747D">
        <w:rPr>
          <w:rFonts w:ascii="仿宋" w:eastAsia="仿宋" w:hAnsi="仿宋" w:hint="eastAsia"/>
          <w:sz w:val="28"/>
          <w:szCs w:val="24"/>
        </w:rPr>
        <w:t>高通2015年</w:t>
      </w:r>
      <w:proofErr w:type="gramEnd"/>
      <w:r w:rsidR="00E36FF1" w:rsidRPr="00EC747D">
        <w:rPr>
          <w:rFonts w:ascii="仿宋" w:eastAsia="仿宋" w:hAnsi="仿宋" w:hint="eastAsia"/>
          <w:sz w:val="28"/>
          <w:szCs w:val="24"/>
        </w:rPr>
        <w:t>智能手机基带芯片出货量</w:t>
      </w:r>
      <w:r>
        <w:rPr>
          <w:rFonts w:ascii="仿宋" w:eastAsia="仿宋" w:hAnsi="仿宋" w:hint="eastAsia"/>
          <w:sz w:val="28"/>
          <w:szCs w:val="24"/>
        </w:rPr>
        <w:t>出现历年来首次下滑，</w:t>
      </w:r>
      <w:r w:rsidR="00E36FF1" w:rsidRPr="00EC747D">
        <w:rPr>
          <w:rFonts w:ascii="仿宋" w:eastAsia="仿宋" w:hAnsi="仿宋" w:hint="eastAsia"/>
          <w:sz w:val="28"/>
          <w:szCs w:val="24"/>
        </w:rPr>
        <w:t>达到7.7亿，比2014年减</w:t>
      </w:r>
      <w:r w:rsidR="00E36FF1" w:rsidRPr="00EC747D">
        <w:rPr>
          <w:rFonts w:ascii="仿宋" w:eastAsia="仿宋" w:hAnsi="仿宋" w:hint="eastAsia"/>
          <w:sz w:val="28"/>
          <w:szCs w:val="24"/>
        </w:rPr>
        <w:lastRenderedPageBreak/>
        <w:t>少7.2%；</w:t>
      </w:r>
      <w:proofErr w:type="gramStart"/>
      <w:r w:rsidR="00E36FF1" w:rsidRPr="00EC747D">
        <w:rPr>
          <w:rFonts w:ascii="仿宋" w:eastAsia="仿宋" w:hAnsi="仿宋" w:hint="eastAsia"/>
          <w:sz w:val="28"/>
          <w:szCs w:val="24"/>
        </w:rPr>
        <w:t>联发科</w:t>
      </w:r>
      <w:r w:rsidR="00937FAF">
        <w:rPr>
          <w:rFonts w:ascii="仿宋" w:eastAsia="仿宋" w:hAnsi="仿宋" w:hint="eastAsia"/>
          <w:sz w:val="28"/>
          <w:szCs w:val="24"/>
        </w:rPr>
        <w:t>受</w:t>
      </w:r>
      <w:bookmarkStart w:id="2" w:name="_GoBack"/>
      <w:bookmarkEnd w:id="2"/>
      <w:r w:rsidR="00937FAF">
        <w:rPr>
          <w:rFonts w:ascii="仿宋" w:eastAsia="仿宋" w:hAnsi="仿宋" w:hint="eastAsia"/>
          <w:sz w:val="28"/>
          <w:szCs w:val="24"/>
        </w:rPr>
        <w:t>到</w:t>
      </w:r>
      <w:proofErr w:type="gramEnd"/>
      <w:r w:rsidR="00937FAF">
        <w:rPr>
          <w:rFonts w:ascii="仿宋" w:eastAsia="仿宋" w:hAnsi="仿宋" w:hint="eastAsia"/>
          <w:sz w:val="28"/>
          <w:szCs w:val="24"/>
        </w:rPr>
        <w:t>智能手机市场发展放缓</w:t>
      </w:r>
      <w:r w:rsidR="00E93331">
        <w:rPr>
          <w:rFonts w:ascii="仿宋" w:eastAsia="仿宋" w:hAnsi="仿宋" w:hint="eastAsia"/>
          <w:sz w:val="28"/>
          <w:szCs w:val="24"/>
        </w:rPr>
        <w:t>及进军高端市场失利</w:t>
      </w:r>
      <w:r w:rsidR="00A37B92">
        <w:rPr>
          <w:rFonts w:ascii="仿宋" w:eastAsia="仿宋" w:hAnsi="仿宋" w:hint="eastAsia"/>
          <w:sz w:val="28"/>
          <w:szCs w:val="24"/>
        </w:rPr>
        <w:t>双重</w:t>
      </w:r>
      <w:r w:rsidR="00937FAF">
        <w:rPr>
          <w:rFonts w:ascii="仿宋" w:eastAsia="仿宋" w:hAnsi="仿宋" w:hint="eastAsia"/>
          <w:sz w:val="28"/>
          <w:szCs w:val="24"/>
        </w:rPr>
        <w:t>影响，</w:t>
      </w:r>
      <w:r w:rsidR="00E36FF1" w:rsidRPr="00EC747D">
        <w:rPr>
          <w:rFonts w:ascii="仿宋" w:eastAsia="仿宋" w:hAnsi="仿宋" w:hint="eastAsia"/>
          <w:sz w:val="28"/>
          <w:szCs w:val="24"/>
        </w:rPr>
        <w:t>2015年智能机基带芯片出货量达到3.8亿，比2014年增长18.7%，但收入减少5.9%。</w:t>
      </w:r>
      <w:r w:rsidR="001D15E0">
        <w:rPr>
          <w:rFonts w:ascii="仿宋" w:eastAsia="仿宋" w:hAnsi="仿宋" w:hint="eastAsia"/>
          <w:sz w:val="28"/>
          <w:szCs w:val="24"/>
        </w:rPr>
        <w:t>国内</w:t>
      </w:r>
      <w:r w:rsidR="00937FAF">
        <w:rPr>
          <w:rFonts w:ascii="仿宋" w:eastAsia="仿宋" w:hAnsi="仿宋" w:hint="eastAsia"/>
          <w:sz w:val="28"/>
          <w:szCs w:val="24"/>
        </w:rPr>
        <w:t>厂商呈现较快增长，</w:t>
      </w:r>
      <w:proofErr w:type="gramStart"/>
      <w:r w:rsidR="00751EFB" w:rsidRPr="00EC747D">
        <w:rPr>
          <w:rFonts w:ascii="仿宋" w:eastAsia="仿宋" w:hAnsi="仿宋" w:hint="eastAsia"/>
          <w:sz w:val="28"/>
          <w:szCs w:val="24"/>
        </w:rPr>
        <w:t>展讯</w:t>
      </w:r>
      <w:r w:rsidR="00E93331">
        <w:rPr>
          <w:rFonts w:ascii="仿宋" w:eastAsia="仿宋" w:hAnsi="仿宋" w:hint="eastAsia"/>
          <w:sz w:val="28"/>
          <w:szCs w:val="24"/>
        </w:rPr>
        <w:t>在</w:t>
      </w:r>
      <w:proofErr w:type="gramEnd"/>
      <w:r w:rsidR="00E93331">
        <w:rPr>
          <w:rFonts w:ascii="仿宋" w:eastAsia="仿宋" w:hAnsi="仿宋" w:hint="eastAsia"/>
          <w:sz w:val="28"/>
          <w:szCs w:val="24"/>
        </w:rPr>
        <w:t>低端市场基础上</w:t>
      </w:r>
      <w:r w:rsidR="001D15E0">
        <w:rPr>
          <w:rFonts w:ascii="仿宋" w:eastAsia="仿宋" w:hAnsi="仿宋" w:hint="eastAsia"/>
          <w:sz w:val="28"/>
          <w:szCs w:val="24"/>
        </w:rPr>
        <w:t>向高端市场进发</w:t>
      </w:r>
      <w:r w:rsidR="00E93331">
        <w:rPr>
          <w:rFonts w:ascii="仿宋" w:eastAsia="仿宋" w:hAnsi="仿宋" w:hint="eastAsia"/>
          <w:sz w:val="28"/>
          <w:szCs w:val="24"/>
        </w:rPr>
        <w:t>，推出16nm先进</w:t>
      </w:r>
      <w:proofErr w:type="gramStart"/>
      <w:r w:rsidR="00E93331">
        <w:rPr>
          <w:rFonts w:ascii="仿宋" w:eastAsia="仿宋" w:hAnsi="仿宋" w:hint="eastAsia"/>
          <w:sz w:val="28"/>
          <w:szCs w:val="24"/>
        </w:rPr>
        <w:t>工艺五模</w:t>
      </w:r>
      <w:proofErr w:type="gramEnd"/>
      <w:r w:rsidR="00E93331">
        <w:rPr>
          <w:rFonts w:ascii="仿宋" w:eastAsia="仿宋" w:hAnsi="仿宋" w:hint="eastAsia"/>
          <w:sz w:val="28"/>
          <w:szCs w:val="24"/>
        </w:rPr>
        <w:t>4G芯片，并与三星、</w:t>
      </w:r>
      <w:proofErr w:type="gramStart"/>
      <w:r w:rsidR="00E93331">
        <w:rPr>
          <w:rFonts w:ascii="仿宋" w:eastAsia="仿宋" w:hAnsi="仿宋" w:hint="eastAsia"/>
          <w:sz w:val="28"/>
          <w:szCs w:val="24"/>
        </w:rPr>
        <w:t>酷派和</w:t>
      </w:r>
      <w:proofErr w:type="gramEnd"/>
      <w:r w:rsidR="00E93331">
        <w:rPr>
          <w:rFonts w:ascii="仿宋" w:eastAsia="仿宋" w:hAnsi="仿宋" w:hint="eastAsia"/>
          <w:sz w:val="28"/>
          <w:szCs w:val="24"/>
        </w:rPr>
        <w:t>联想等多家国内外厂商达成合作关系，华</w:t>
      </w:r>
      <w:proofErr w:type="gramStart"/>
      <w:r w:rsidR="00E93331">
        <w:rPr>
          <w:rFonts w:ascii="仿宋" w:eastAsia="仿宋" w:hAnsi="仿宋" w:hint="eastAsia"/>
          <w:sz w:val="28"/>
          <w:szCs w:val="24"/>
        </w:rPr>
        <w:t>为</w:t>
      </w:r>
      <w:r w:rsidR="00751EFB" w:rsidRPr="00EC747D">
        <w:rPr>
          <w:rFonts w:ascii="仿宋" w:eastAsia="仿宋" w:hAnsi="仿宋" w:hint="eastAsia"/>
          <w:sz w:val="28"/>
          <w:szCs w:val="24"/>
        </w:rPr>
        <w:t>海思</w:t>
      </w:r>
      <w:r w:rsidR="00E93331">
        <w:rPr>
          <w:rFonts w:ascii="仿宋" w:eastAsia="仿宋" w:hAnsi="仿宋" w:hint="eastAsia"/>
          <w:sz w:val="28"/>
          <w:szCs w:val="24"/>
        </w:rPr>
        <w:t>则</w:t>
      </w:r>
      <w:proofErr w:type="gramEnd"/>
      <w:r w:rsidR="00E93331">
        <w:rPr>
          <w:rFonts w:ascii="仿宋" w:eastAsia="仿宋" w:hAnsi="仿宋" w:hint="eastAsia"/>
          <w:sz w:val="28"/>
          <w:szCs w:val="24"/>
        </w:rPr>
        <w:t>增大芯片自</w:t>
      </w:r>
      <w:proofErr w:type="gramStart"/>
      <w:r w:rsidR="00E93331">
        <w:rPr>
          <w:rFonts w:ascii="仿宋" w:eastAsia="仿宋" w:hAnsi="仿宋" w:hint="eastAsia"/>
          <w:sz w:val="28"/>
          <w:szCs w:val="24"/>
        </w:rPr>
        <w:t>研</w:t>
      </w:r>
      <w:proofErr w:type="gramEnd"/>
      <w:r w:rsidR="00E93331">
        <w:rPr>
          <w:rFonts w:ascii="仿宋" w:eastAsia="仿宋" w:hAnsi="仿宋" w:hint="eastAsia"/>
          <w:sz w:val="28"/>
          <w:szCs w:val="24"/>
        </w:rPr>
        <w:t>及采用力度，二者</w:t>
      </w:r>
      <w:r w:rsidR="0014382E" w:rsidRPr="00EC747D">
        <w:rPr>
          <w:rFonts w:ascii="仿宋" w:eastAsia="仿宋" w:hAnsi="仿宋" w:hint="eastAsia"/>
          <w:sz w:val="28"/>
          <w:szCs w:val="24"/>
        </w:rPr>
        <w:t>智能手机基带芯片出货量</w:t>
      </w:r>
      <w:r w:rsidR="0077506F" w:rsidRPr="00EC747D">
        <w:rPr>
          <w:rFonts w:ascii="仿宋" w:eastAsia="仿宋" w:hAnsi="仿宋" w:hint="eastAsia"/>
          <w:sz w:val="28"/>
          <w:szCs w:val="24"/>
        </w:rPr>
        <w:t>分别达到1.75亿和4500万，比2014年分别增长</w:t>
      </w:r>
      <w:r w:rsidR="009B1C67" w:rsidRPr="00EC747D">
        <w:rPr>
          <w:rFonts w:ascii="仿宋" w:eastAsia="仿宋" w:hAnsi="仿宋" w:hint="eastAsia"/>
          <w:sz w:val="28"/>
          <w:szCs w:val="24"/>
        </w:rPr>
        <w:t>40%和</w:t>
      </w:r>
      <w:r w:rsidR="00582B06" w:rsidRPr="00EC747D">
        <w:rPr>
          <w:rFonts w:ascii="仿宋" w:eastAsia="仿宋" w:hAnsi="仿宋" w:hint="eastAsia"/>
          <w:sz w:val="28"/>
          <w:szCs w:val="24"/>
        </w:rPr>
        <w:t>200%</w:t>
      </w:r>
      <w:r w:rsidR="00533055">
        <w:rPr>
          <w:rFonts w:ascii="仿宋" w:eastAsia="仿宋" w:hAnsi="仿宋" w:hint="eastAsia"/>
          <w:sz w:val="28"/>
          <w:szCs w:val="24"/>
        </w:rPr>
        <w:t>。</w:t>
      </w:r>
    </w:p>
    <w:p w:rsidR="00897843" w:rsidRDefault="00DC6BD8" w:rsidP="00897843">
      <w:pPr>
        <w:spacing w:before="120"/>
        <w:jc w:val="right"/>
        <w:rPr>
          <w:rFonts w:ascii="Verdana" w:hAnsi="Verdana"/>
          <w:b/>
          <w:sz w:val="20"/>
        </w:rPr>
      </w:pPr>
      <w:r>
        <w:rPr>
          <w:noProof/>
        </w:rPr>
        <w:drawing>
          <wp:inline distT="0" distB="0" distL="0" distR="0" wp14:anchorId="39C3E1F8" wp14:editId="2AC0BCE3">
            <wp:extent cx="4572000" cy="27432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7843" w:rsidRPr="00910562" w:rsidRDefault="00897843" w:rsidP="00897843">
      <w:pPr>
        <w:spacing w:before="120"/>
        <w:jc w:val="right"/>
        <w:rPr>
          <w:rFonts w:ascii="Verdana" w:hAnsi="Verdana"/>
          <w:b/>
          <w:sz w:val="20"/>
        </w:rPr>
      </w:pPr>
      <w:r w:rsidRPr="00910562">
        <w:rPr>
          <w:rFonts w:ascii="Verdana" w:hAnsi="Verdana" w:hint="eastAsia"/>
          <w:b/>
          <w:sz w:val="20"/>
        </w:rPr>
        <w:t>数据来源：</w:t>
      </w:r>
      <w:r w:rsidRPr="00910562">
        <w:rPr>
          <w:rFonts w:ascii="Verdana" w:hAnsi="Verdana" w:hint="eastAsia"/>
          <w:b/>
          <w:sz w:val="20"/>
        </w:rPr>
        <w:t>Gartner</w:t>
      </w:r>
    </w:p>
    <w:p w:rsidR="00092891" w:rsidRPr="00B34334" w:rsidRDefault="00216088">
      <w:pPr>
        <w:rPr>
          <w:rFonts w:ascii="仿宋" w:eastAsia="仿宋" w:hAnsi="仿宋"/>
          <w:b/>
          <w:sz w:val="28"/>
          <w:szCs w:val="24"/>
        </w:rPr>
      </w:pPr>
      <w:r w:rsidRPr="00B34334">
        <w:rPr>
          <w:rFonts w:ascii="仿宋" w:eastAsia="仿宋" w:hAnsi="仿宋" w:hint="eastAsia"/>
          <w:b/>
          <w:sz w:val="28"/>
          <w:szCs w:val="24"/>
        </w:rPr>
        <w:t>二、4G手机芯片国产化率提升</w:t>
      </w:r>
    </w:p>
    <w:p w:rsidR="00216088" w:rsidRPr="00EC747D" w:rsidRDefault="00A36E09" w:rsidP="00EC747D">
      <w:pPr>
        <w:ind w:firstLine="560"/>
        <w:rPr>
          <w:rFonts w:ascii="仿宋" w:eastAsia="仿宋" w:hAnsi="仿宋"/>
          <w:sz w:val="28"/>
          <w:szCs w:val="24"/>
        </w:rPr>
      </w:pPr>
      <w:r w:rsidRPr="00EC747D">
        <w:rPr>
          <w:rFonts w:ascii="仿宋" w:eastAsia="仿宋" w:hAnsi="仿宋" w:hint="eastAsia"/>
          <w:sz w:val="28"/>
          <w:szCs w:val="24"/>
        </w:rPr>
        <w:t>2015年</w:t>
      </w:r>
      <w:r w:rsidR="00746122">
        <w:rPr>
          <w:rFonts w:ascii="仿宋" w:eastAsia="仿宋" w:hAnsi="仿宋" w:hint="eastAsia"/>
          <w:sz w:val="28"/>
          <w:szCs w:val="24"/>
        </w:rPr>
        <w:t>，</w:t>
      </w:r>
      <w:r w:rsidR="001F5C54" w:rsidRPr="00EC747D">
        <w:rPr>
          <w:rFonts w:ascii="仿宋" w:eastAsia="仿宋" w:hAnsi="仿宋" w:hint="eastAsia"/>
          <w:sz w:val="28"/>
          <w:szCs w:val="24"/>
        </w:rPr>
        <w:t>随着FDD牌照发放，我国运营和终端市场围绕4G全面展开，</w:t>
      </w:r>
      <w:r w:rsidR="0069610A" w:rsidRPr="00EC747D">
        <w:rPr>
          <w:rFonts w:ascii="仿宋" w:eastAsia="仿宋" w:hAnsi="仿宋" w:hint="eastAsia"/>
          <w:sz w:val="28"/>
          <w:szCs w:val="24"/>
        </w:rPr>
        <w:t>4G</w:t>
      </w:r>
      <w:r w:rsidR="00F42AA6" w:rsidRPr="00EC747D">
        <w:rPr>
          <w:rFonts w:ascii="仿宋" w:eastAsia="仿宋" w:hAnsi="仿宋" w:hint="eastAsia"/>
          <w:sz w:val="28"/>
          <w:szCs w:val="24"/>
        </w:rPr>
        <w:t>终端</w:t>
      </w:r>
      <w:r w:rsidR="006F4023" w:rsidRPr="00EC747D">
        <w:rPr>
          <w:rFonts w:ascii="仿宋" w:eastAsia="仿宋" w:hAnsi="仿宋" w:hint="eastAsia"/>
          <w:sz w:val="28"/>
          <w:szCs w:val="24"/>
        </w:rPr>
        <w:t>进入规模发展阶段，4G芯片</w:t>
      </w:r>
      <w:r w:rsidR="00F42AA6" w:rsidRPr="00EC747D">
        <w:rPr>
          <w:rFonts w:ascii="仿宋" w:eastAsia="仿宋" w:hAnsi="仿宋" w:hint="eastAsia"/>
          <w:sz w:val="28"/>
          <w:szCs w:val="24"/>
        </w:rPr>
        <w:t>出货量</w:t>
      </w:r>
      <w:r w:rsidR="005A6B15">
        <w:rPr>
          <w:rFonts w:ascii="仿宋" w:eastAsia="仿宋" w:hAnsi="仿宋" w:hint="eastAsia"/>
          <w:sz w:val="28"/>
          <w:szCs w:val="24"/>
        </w:rPr>
        <w:t>随之</w:t>
      </w:r>
      <w:r w:rsidR="00F42AA6" w:rsidRPr="00EC747D">
        <w:rPr>
          <w:rFonts w:ascii="仿宋" w:eastAsia="仿宋" w:hAnsi="仿宋" w:hint="eastAsia"/>
          <w:sz w:val="28"/>
          <w:szCs w:val="24"/>
        </w:rPr>
        <w:t>快速增长</w:t>
      </w:r>
      <w:r w:rsidR="005A6B15">
        <w:rPr>
          <w:rFonts w:ascii="仿宋" w:eastAsia="仿宋" w:hAnsi="仿宋" w:hint="eastAsia"/>
          <w:sz w:val="28"/>
          <w:szCs w:val="24"/>
        </w:rPr>
        <w:t>，</w:t>
      </w:r>
      <w:r w:rsidR="005A6839">
        <w:rPr>
          <w:rFonts w:ascii="仿宋" w:eastAsia="仿宋" w:hAnsi="仿宋" w:hint="eastAsia"/>
          <w:sz w:val="28"/>
          <w:szCs w:val="24"/>
        </w:rPr>
        <w:t>仅</w:t>
      </w:r>
      <w:r w:rsidR="005A6B15">
        <w:rPr>
          <w:rFonts w:ascii="仿宋" w:eastAsia="仿宋" w:hAnsi="仿宋" w:hint="eastAsia"/>
          <w:sz w:val="28"/>
          <w:szCs w:val="24"/>
        </w:rPr>
        <w:t>2015年</w:t>
      </w:r>
      <w:r w:rsidR="005A6839">
        <w:rPr>
          <w:rFonts w:ascii="仿宋" w:eastAsia="仿宋" w:hAnsi="仿宋" w:hint="eastAsia"/>
          <w:sz w:val="28"/>
          <w:szCs w:val="24"/>
        </w:rPr>
        <w:t>第四季度就接近1.3亿片</w:t>
      </w:r>
      <w:r w:rsidR="004920EF">
        <w:rPr>
          <w:rFonts w:ascii="仿宋" w:eastAsia="仿宋" w:hAnsi="仿宋" w:hint="eastAsia"/>
          <w:sz w:val="28"/>
          <w:szCs w:val="24"/>
        </w:rPr>
        <w:t>，同比增长54%</w:t>
      </w:r>
      <w:r w:rsidRPr="00EC747D">
        <w:rPr>
          <w:rFonts w:ascii="仿宋" w:eastAsia="仿宋" w:hAnsi="仿宋" w:hint="eastAsia"/>
          <w:sz w:val="28"/>
          <w:szCs w:val="24"/>
        </w:rPr>
        <w:t>。</w:t>
      </w:r>
      <w:r w:rsidR="00996443">
        <w:rPr>
          <w:rFonts w:ascii="仿宋" w:eastAsia="仿宋" w:hAnsi="仿宋" w:hint="eastAsia"/>
          <w:sz w:val="28"/>
          <w:szCs w:val="24"/>
        </w:rPr>
        <w:t>国</w:t>
      </w:r>
      <w:r w:rsidR="00093F5B">
        <w:rPr>
          <w:rFonts w:ascii="仿宋" w:eastAsia="仿宋" w:hAnsi="仿宋" w:hint="eastAsia"/>
          <w:sz w:val="28"/>
          <w:szCs w:val="24"/>
        </w:rPr>
        <w:t>内</w:t>
      </w:r>
      <w:r w:rsidR="001D15E0">
        <w:rPr>
          <w:rFonts w:ascii="仿宋" w:eastAsia="仿宋" w:hAnsi="仿宋" w:hint="eastAsia"/>
          <w:sz w:val="28"/>
          <w:szCs w:val="24"/>
        </w:rPr>
        <w:t>品牌</w:t>
      </w:r>
      <w:r w:rsidR="003B7337" w:rsidRPr="00EC747D">
        <w:rPr>
          <w:rFonts w:ascii="仿宋" w:eastAsia="仿宋" w:hAnsi="仿宋" w:hint="eastAsia"/>
          <w:sz w:val="28"/>
          <w:szCs w:val="24"/>
        </w:rPr>
        <w:t>4G手机芯片</w:t>
      </w:r>
      <w:proofErr w:type="gramStart"/>
      <w:r w:rsidR="003B7337" w:rsidRPr="00EC747D">
        <w:rPr>
          <w:rFonts w:ascii="仿宋" w:eastAsia="仿宋" w:hAnsi="仿宋" w:hint="eastAsia"/>
          <w:sz w:val="28"/>
          <w:szCs w:val="24"/>
        </w:rPr>
        <w:t>占比</w:t>
      </w:r>
      <w:r w:rsidR="005E348C" w:rsidRPr="00EC747D">
        <w:rPr>
          <w:rFonts w:ascii="仿宋" w:eastAsia="仿宋" w:hAnsi="仿宋" w:hint="eastAsia"/>
          <w:sz w:val="28"/>
          <w:szCs w:val="24"/>
        </w:rPr>
        <w:t>较</w:t>
      </w:r>
      <w:proofErr w:type="gramEnd"/>
      <w:r w:rsidR="005E348C" w:rsidRPr="00EC747D">
        <w:rPr>
          <w:rFonts w:ascii="仿宋" w:eastAsia="仿宋" w:hAnsi="仿宋" w:hint="eastAsia"/>
          <w:sz w:val="28"/>
          <w:szCs w:val="24"/>
        </w:rPr>
        <w:t>2014年</w:t>
      </w:r>
      <w:r w:rsidR="00923D5C" w:rsidRPr="00EC747D">
        <w:rPr>
          <w:rFonts w:ascii="仿宋" w:eastAsia="仿宋" w:hAnsi="仿宋" w:hint="eastAsia"/>
          <w:sz w:val="28"/>
          <w:szCs w:val="24"/>
        </w:rPr>
        <w:t>有所</w:t>
      </w:r>
      <w:r w:rsidR="00851C49" w:rsidRPr="00EC747D">
        <w:rPr>
          <w:rFonts w:ascii="仿宋" w:eastAsia="仿宋" w:hAnsi="仿宋" w:hint="eastAsia"/>
          <w:sz w:val="28"/>
          <w:szCs w:val="24"/>
        </w:rPr>
        <w:t>提升，</w:t>
      </w:r>
      <w:r w:rsidR="00CB7E9B">
        <w:rPr>
          <w:rFonts w:ascii="仿宋" w:eastAsia="仿宋" w:hAnsi="仿宋" w:hint="eastAsia"/>
          <w:sz w:val="28"/>
          <w:szCs w:val="24"/>
        </w:rPr>
        <w:t>一度</w:t>
      </w:r>
      <w:r w:rsidR="00851C49" w:rsidRPr="00EC747D">
        <w:rPr>
          <w:rFonts w:ascii="仿宋" w:eastAsia="仿宋" w:hAnsi="仿宋" w:hint="eastAsia"/>
          <w:sz w:val="28"/>
          <w:szCs w:val="24"/>
        </w:rPr>
        <w:t>达到</w:t>
      </w:r>
      <w:r w:rsidR="00830CE5">
        <w:rPr>
          <w:rFonts w:ascii="仿宋" w:eastAsia="仿宋" w:hAnsi="仿宋" w:hint="eastAsia"/>
          <w:sz w:val="28"/>
          <w:szCs w:val="24"/>
        </w:rPr>
        <w:t>1</w:t>
      </w:r>
      <w:r w:rsidR="0014257A">
        <w:rPr>
          <w:rFonts w:ascii="仿宋" w:eastAsia="仿宋" w:hAnsi="仿宋" w:hint="eastAsia"/>
          <w:sz w:val="28"/>
          <w:szCs w:val="24"/>
        </w:rPr>
        <w:t>6.6</w:t>
      </w:r>
      <w:r w:rsidR="00830CE5">
        <w:rPr>
          <w:rFonts w:ascii="仿宋" w:eastAsia="仿宋" w:hAnsi="仿宋" w:hint="eastAsia"/>
          <w:sz w:val="28"/>
          <w:szCs w:val="24"/>
        </w:rPr>
        <w:t>%，出货量为</w:t>
      </w:r>
      <w:r w:rsidR="0061673C">
        <w:rPr>
          <w:rFonts w:ascii="仿宋" w:eastAsia="仿宋" w:hAnsi="仿宋" w:hint="eastAsia"/>
          <w:sz w:val="28"/>
          <w:szCs w:val="24"/>
        </w:rPr>
        <w:t>也从2014年的986.2万片增至2015年的5358.8</w:t>
      </w:r>
      <w:r w:rsidR="000B589B" w:rsidRPr="00EC747D">
        <w:rPr>
          <w:rFonts w:ascii="仿宋" w:eastAsia="仿宋" w:hAnsi="仿宋" w:hint="eastAsia"/>
          <w:sz w:val="28"/>
          <w:szCs w:val="24"/>
        </w:rPr>
        <w:t>万片。</w:t>
      </w:r>
    </w:p>
    <w:p w:rsidR="00205632" w:rsidRDefault="00996443" w:rsidP="000A709C">
      <w:pPr>
        <w:spacing w:before="120"/>
        <w:jc w:val="center"/>
        <w:rPr>
          <w:rFonts w:ascii="Verdana" w:hAnsi="Verdana"/>
          <w:b/>
          <w:sz w:val="20"/>
        </w:rPr>
      </w:pPr>
      <w:r>
        <w:rPr>
          <w:noProof/>
        </w:rPr>
        <w:lastRenderedPageBreak/>
        <w:drawing>
          <wp:inline distT="0" distB="0" distL="0" distR="0" wp14:anchorId="0B42587D" wp14:editId="0B495F66">
            <wp:extent cx="4572000" cy="27432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05632" w:rsidRDefault="00205632" w:rsidP="00205632">
      <w:pPr>
        <w:spacing w:before="120"/>
        <w:jc w:val="right"/>
        <w:rPr>
          <w:rFonts w:ascii="Calibri" w:hAnsi="Calibri"/>
          <w:b/>
          <w:sz w:val="20"/>
        </w:rPr>
      </w:pPr>
      <w:r>
        <w:rPr>
          <w:rFonts w:ascii="Verdana" w:hAnsi="Verdana" w:hint="eastAsia"/>
          <w:b/>
          <w:sz w:val="20"/>
        </w:rPr>
        <w:t>数据来源</w:t>
      </w:r>
      <w:r w:rsidRPr="00463D94">
        <w:rPr>
          <w:rFonts w:ascii="Calibri" w:hAnsi="Calibri"/>
          <w:b/>
          <w:sz w:val="20"/>
        </w:rPr>
        <w:t>：</w:t>
      </w:r>
      <w:r>
        <w:rPr>
          <w:rFonts w:ascii="Calibri" w:hAnsi="Calibri" w:hint="eastAsia"/>
          <w:b/>
          <w:sz w:val="20"/>
        </w:rPr>
        <w:t>中国信息通信研究院</w:t>
      </w:r>
    </w:p>
    <w:p w:rsidR="00ED305A" w:rsidRDefault="00ED305A" w:rsidP="00205632">
      <w:pPr>
        <w:spacing w:before="120"/>
        <w:jc w:val="right"/>
        <w:rPr>
          <w:rFonts w:ascii="Calibri" w:hAnsi="Calibri"/>
          <w:b/>
          <w:sz w:val="20"/>
        </w:rPr>
      </w:pPr>
    </w:p>
    <w:p w:rsidR="00ED305A" w:rsidRDefault="00ED305A" w:rsidP="00ED305A">
      <w:pPr>
        <w:spacing w:before="120"/>
        <w:jc w:val="left"/>
        <w:rPr>
          <w:rFonts w:ascii="Calibri" w:hAnsi="Calibri"/>
          <w:b/>
          <w:sz w:val="20"/>
        </w:rPr>
      </w:pPr>
    </w:p>
    <w:p w:rsidR="008C347C" w:rsidRPr="008C347C" w:rsidRDefault="00CD350B" w:rsidP="00D37F56">
      <w:pPr>
        <w:ind w:firstLine="560"/>
        <w:rPr>
          <w:rFonts w:ascii="仿宋" w:eastAsia="仿宋" w:hAnsi="仿宋"/>
          <w:sz w:val="28"/>
          <w:szCs w:val="24"/>
        </w:rPr>
      </w:pPr>
      <w:r w:rsidRPr="00D37F56">
        <w:rPr>
          <w:rFonts w:ascii="仿宋" w:eastAsia="仿宋" w:hAnsi="仿宋" w:hint="eastAsia"/>
          <w:sz w:val="28"/>
          <w:szCs w:val="24"/>
        </w:rPr>
        <w:t>我国</w:t>
      </w:r>
      <w:r w:rsidR="00ED305A" w:rsidRPr="00D37F56">
        <w:rPr>
          <w:rFonts w:ascii="仿宋" w:eastAsia="仿宋" w:hAnsi="仿宋" w:hint="eastAsia"/>
          <w:sz w:val="28"/>
          <w:szCs w:val="24"/>
        </w:rPr>
        <w:t>4G商用</w:t>
      </w:r>
      <w:r w:rsidRPr="00D37F56">
        <w:rPr>
          <w:rFonts w:ascii="仿宋" w:eastAsia="仿宋" w:hAnsi="仿宋" w:hint="eastAsia"/>
          <w:sz w:val="28"/>
          <w:szCs w:val="24"/>
        </w:rPr>
        <w:t>之初，</w:t>
      </w:r>
      <w:r w:rsidR="00996443">
        <w:rPr>
          <w:rFonts w:ascii="仿宋" w:eastAsia="仿宋" w:hAnsi="仿宋" w:hint="eastAsia"/>
          <w:sz w:val="28"/>
          <w:szCs w:val="24"/>
        </w:rPr>
        <w:t>国内</w:t>
      </w:r>
      <w:r w:rsidR="000F45A1">
        <w:rPr>
          <w:rFonts w:ascii="仿宋" w:eastAsia="仿宋" w:hAnsi="仿宋" w:hint="eastAsia"/>
          <w:sz w:val="28"/>
          <w:szCs w:val="24"/>
        </w:rPr>
        <w:t>芯片厂商产品多为三模，难以满足市场</w:t>
      </w:r>
      <w:r w:rsidR="007809BE">
        <w:rPr>
          <w:rFonts w:ascii="仿宋" w:eastAsia="仿宋" w:hAnsi="仿宋" w:hint="eastAsia"/>
          <w:sz w:val="28"/>
          <w:szCs w:val="24"/>
        </w:rPr>
        <w:t>更多模式</w:t>
      </w:r>
      <w:r w:rsidR="000F45A1">
        <w:rPr>
          <w:rFonts w:ascii="仿宋" w:eastAsia="仿宋" w:hAnsi="仿宋" w:hint="eastAsia"/>
          <w:sz w:val="28"/>
          <w:szCs w:val="24"/>
        </w:rPr>
        <w:t>要求</w:t>
      </w:r>
      <w:r w:rsidR="00324D70">
        <w:rPr>
          <w:rFonts w:ascii="仿宋" w:eastAsia="仿宋" w:hAnsi="仿宋" w:hint="eastAsia"/>
          <w:sz w:val="28"/>
          <w:szCs w:val="24"/>
        </w:rPr>
        <w:t>，在4G</w:t>
      </w:r>
      <w:r w:rsidR="008C0963">
        <w:rPr>
          <w:rFonts w:ascii="仿宋" w:eastAsia="仿宋" w:hAnsi="仿宋" w:hint="eastAsia"/>
          <w:sz w:val="28"/>
          <w:szCs w:val="24"/>
        </w:rPr>
        <w:t>芯片市场中的比例不足一成</w:t>
      </w:r>
      <w:r w:rsidR="008D2B4A" w:rsidRPr="00D37F56">
        <w:rPr>
          <w:rFonts w:ascii="仿宋" w:eastAsia="仿宋" w:hAnsi="仿宋" w:hint="eastAsia"/>
          <w:sz w:val="28"/>
          <w:szCs w:val="24"/>
        </w:rPr>
        <w:t>。</w:t>
      </w:r>
      <w:r w:rsidR="008C2F87">
        <w:rPr>
          <w:rFonts w:ascii="仿宋" w:eastAsia="仿宋" w:hAnsi="仿宋" w:hint="eastAsia"/>
          <w:sz w:val="28"/>
          <w:szCs w:val="24"/>
        </w:rPr>
        <w:t>2015年</w:t>
      </w:r>
      <w:r w:rsidR="003E5C84">
        <w:rPr>
          <w:rFonts w:ascii="仿宋" w:eastAsia="仿宋" w:hAnsi="仿宋" w:hint="eastAsia"/>
          <w:sz w:val="28"/>
          <w:szCs w:val="24"/>
        </w:rPr>
        <w:t>，</w:t>
      </w:r>
      <w:r w:rsidR="00921448">
        <w:rPr>
          <w:rFonts w:ascii="仿宋" w:eastAsia="仿宋" w:hAnsi="仿宋" w:hint="eastAsia"/>
          <w:sz w:val="28"/>
          <w:szCs w:val="24"/>
        </w:rPr>
        <w:t>一方面</w:t>
      </w:r>
      <w:r w:rsidR="00B73438">
        <w:rPr>
          <w:rFonts w:ascii="仿宋" w:eastAsia="仿宋" w:hAnsi="仿宋" w:hint="eastAsia"/>
          <w:sz w:val="28"/>
          <w:szCs w:val="24"/>
        </w:rPr>
        <w:t>各厂商</w:t>
      </w:r>
      <w:r w:rsidR="00921448">
        <w:rPr>
          <w:rFonts w:ascii="仿宋" w:eastAsia="仿宋" w:hAnsi="仿宋" w:hint="eastAsia"/>
          <w:sz w:val="28"/>
          <w:szCs w:val="24"/>
        </w:rPr>
        <w:t>加大对</w:t>
      </w:r>
      <w:r w:rsidR="0081735B">
        <w:rPr>
          <w:rFonts w:ascii="仿宋" w:eastAsia="仿宋" w:hAnsi="仿宋" w:hint="eastAsia"/>
          <w:sz w:val="28"/>
          <w:szCs w:val="24"/>
        </w:rPr>
        <w:t>多模4G芯片研发力度，</w:t>
      </w:r>
      <w:proofErr w:type="gramStart"/>
      <w:r w:rsidR="00A866A7">
        <w:rPr>
          <w:rFonts w:ascii="仿宋" w:eastAsia="仿宋" w:hAnsi="仿宋" w:hint="eastAsia"/>
          <w:sz w:val="28"/>
          <w:szCs w:val="24"/>
        </w:rPr>
        <w:t>例如展讯</w:t>
      </w:r>
      <w:r w:rsidR="007B0FEB">
        <w:rPr>
          <w:rFonts w:ascii="仿宋" w:eastAsia="仿宋" w:hAnsi="仿宋" w:hint="eastAsia"/>
          <w:sz w:val="28"/>
          <w:szCs w:val="24"/>
        </w:rPr>
        <w:t>推出</w:t>
      </w:r>
      <w:proofErr w:type="gramEnd"/>
      <w:r w:rsidR="007B0FEB">
        <w:rPr>
          <w:rFonts w:ascii="仿宋" w:eastAsia="仿宋" w:hAnsi="仿宋" w:hint="eastAsia"/>
          <w:sz w:val="28"/>
          <w:szCs w:val="24"/>
        </w:rPr>
        <w:t>多</w:t>
      </w:r>
      <w:proofErr w:type="gramStart"/>
      <w:r w:rsidR="00A866A7">
        <w:rPr>
          <w:rFonts w:ascii="仿宋" w:eastAsia="仿宋" w:hAnsi="仿宋" w:hint="eastAsia"/>
          <w:sz w:val="28"/>
          <w:szCs w:val="24"/>
        </w:rPr>
        <w:t>款五模</w:t>
      </w:r>
      <w:proofErr w:type="gramEnd"/>
      <w:r w:rsidR="00A866A7">
        <w:rPr>
          <w:rFonts w:ascii="仿宋" w:eastAsia="仿宋" w:hAnsi="仿宋" w:hint="eastAsia"/>
          <w:sz w:val="28"/>
          <w:szCs w:val="24"/>
        </w:rPr>
        <w:t>LTE芯片并实现量产</w:t>
      </w:r>
      <w:r w:rsidR="008B229C">
        <w:rPr>
          <w:rFonts w:ascii="仿宋" w:eastAsia="仿宋" w:hAnsi="仿宋" w:hint="eastAsia"/>
          <w:sz w:val="28"/>
          <w:szCs w:val="24"/>
        </w:rPr>
        <w:t>，</w:t>
      </w:r>
      <w:r w:rsidR="00B34E0D">
        <w:rPr>
          <w:rFonts w:ascii="仿宋" w:eastAsia="仿宋" w:hAnsi="仿宋" w:hint="eastAsia"/>
          <w:sz w:val="28"/>
          <w:szCs w:val="24"/>
        </w:rPr>
        <w:t>生产工艺从28nm到16nm不断提升，</w:t>
      </w:r>
      <w:r w:rsidR="008B229C">
        <w:rPr>
          <w:rFonts w:ascii="仿宋" w:eastAsia="仿宋" w:hAnsi="仿宋" w:hint="eastAsia"/>
          <w:sz w:val="28"/>
          <w:szCs w:val="24"/>
        </w:rPr>
        <w:t>并应用于</w:t>
      </w:r>
      <w:r w:rsidR="003C6537">
        <w:rPr>
          <w:rFonts w:ascii="仿宋" w:eastAsia="仿宋" w:hAnsi="仿宋" w:hint="eastAsia"/>
          <w:sz w:val="28"/>
          <w:szCs w:val="24"/>
        </w:rPr>
        <w:t>多款</w:t>
      </w:r>
      <w:r w:rsidR="00517A12">
        <w:rPr>
          <w:rFonts w:ascii="仿宋" w:eastAsia="仿宋" w:hAnsi="仿宋" w:hint="eastAsia"/>
          <w:sz w:val="28"/>
          <w:szCs w:val="24"/>
        </w:rPr>
        <w:t>4G</w:t>
      </w:r>
      <w:r w:rsidR="003C6537">
        <w:rPr>
          <w:rFonts w:ascii="仿宋" w:eastAsia="仿宋" w:hAnsi="仿宋" w:hint="eastAsia"/>
          <w:sz w:val="28"/>
          <w:szCs w:val="24"/>
        </w:rPr>
        <w:t>终端</w:t>
      </w:r>
      <w:r w:rsidR="00517A12">
        <w:rPr>
          <w:rFonts w:ascii="仿宋" w:eastAsia="仿宋" w:hAnsi="仿宋" w:hint="eastAsia"/>
          <w:sz w:val="28"/>
          <w:szCs w:val="24"/>
        </w:rPr>
        <w:t>中</w:t>
      </w:r>
      <w:r w:rsidR="00A866A7">
        <w:rPr>
          <w:rFonts w:ascii="仿宋" w:eastAsia="仿宋" w:hAnsi="仿宋" w:hint="eastAsia"/>
          <w:sz w:val="28"/>
          <w:szCs w:val="24"/>
        </w:rPr>
        <w:t>；</w:t>
      </w:r>
      <w:r w:rsidR="00921448">
        <w:rPr>
          <w:rFonts w:ascii="仿宋" w:eastAsia="仿宋" w:hAnsi="仿宋" w:hint="eastAsia"/>
          <w:sz w:val="28"/>
          <w:szCs w:val="24"/>
        </w:rPr>
        <w:t>另一方面国内多家手机厂商加大自</w:t>
      </w:r>
      <w:proofErr w:type="gramStart"/>
      <w:r w:rsidR="00921448">
        <w:rPr>
          <w:rFonts w:ascii="仿宋" w:eastAsia="仿宋" w:hAnsi="仿宋" w:hint="eastAsia"/>
          <w:sz w:val="28"/>
          <w:szCs w:val="24"/>
        </w:rPr>
        <w:t>研</w:t>
      </w:r>
      <w:proofErr w:type="gramEnd"/>
      <w:r w:rsidR="00921448">
        <w:rPr>
          <w:rFonts w:ascii="仿宋" w:eastAsia="仿宋" w:hAnsi="仿宋" w:hint="eastAsia"/>
          <w:sz w:val="28"/>
          <w:szCs w:val="24"/>
        </w:rPr>
        <w:t>或定制芯片采用比例</w:t>
      </w:r>
      <w:r w:rsidR="0081735B">
        <w:rPr>
          <w:rFonts w:ascii="仿宋" w:eastAsia="仿宋" w:hAnsi="仿宋" w:hint="eastAsia"/>
          <w:sz w:val="28"/>
          <w:szCs w:val="24"/>
        </w:rPr>
        <w:t>，</w:t>
      </w:r>
      <w:r w:rsidR="00A866A7">
        <w:rPr>
          <w:rFonts w:ascii="仿宋" w:eastAsia="仿宋" w:hAnsi="仿宋" w:hint="eastAsia"/>
          <w:sz w:val="28"/>
          <w:szCs w:val="24"/>
        </w:rPr>
        <w:t>例如</w:t>
      </w:r>
      <w:r w:rsidR="003B3D48">
        <w:rPr>
          <w:rFonts w:ascii="仿宋" w:eastAsia="仿宋" w:hAnsi="仿宋" w:hint="eastAsia"/>
          <w:sz w:val="28"/>
          <w:szCs w:val="24"/>
        </w:rPr>
        <w:t>华为</w:t>
      </w:r>
      <w:proofErr w:type="gramStart"/>
      <w:r w:rsidR="003C6537">
        <w:rPr>
          <w:rFonts w:ascii="仿宋" w:eastAsia="仿宋" w:hAnsi="仿宋" w:hint="eastAsia"/>
          <w:sz w:val="28"/>
          <w:szCs w:val="24"/>
        </w:rPr>
        <w:t>海思</w:t>
      </w:r>
      <w:r w:rsidR="00441148">
        <w:rPr>
          <w:rFonts w:ascii="仿宋" w:eastAsia="仿宋" w:hAnsi="仿宋" w:hint="eastAsia"/>
          <w:sz w:val="28"/>
          <w:szCs w:val="24"/>
        </w:rPr>
        <w:t>推出</w:t>
      </w:r>
      <w:proofErr w:type="gramEnd"/>
      <w:r w:rsidR="00441148">
        <w:rPr>
          <w:rFonts w:ascii="仿宋" w:eastAsia="仿宋" w:hAnsi="仿宋" w:hint="eastAsia"/>
          <w:sz w:val="28"/>
          <w:szCs w:val="24"/>
        </w:rPr>
        <w:t>多款多模4G芯片并应用于华为手机中，</w:t>
      </w:r>
      <w:r w:rsidR="000B662E" w:rsidRPr="00565A2A">
        <w:rPr>
          <w:rFonts w:ascii="仿宋" w:eastAsia="仿宋" w:hAnsi="仿宋" w:hint="eastAsia"/>
          <w:sz w:val="28"/>
          <w:szCs w:val="24"/>
        </w:rPr>
        <w:t>国内市场4G+手机采用</w:t>
      </w:r>
      <w:r w:rsidR="00464571">
        <w:rPr>
          <w:rFonts w:ascii="仿宋" w:eastAsia="仿宋" w:hAnsi="仿宋" w:hint="eastAsia"/>
          <w:sz w:val="28"/>
          <w:szCs w:val="24"/>
        </w:rPr>
        <w:t>麒麟芯片</w:t>
      </w:r>
      <w:r w:rsidR="000B662E">
        <w:rPr>
          <w:rFonts w:ascii="仿宋" w:eastAsia="仿宋" w:hAnsi="仿宋" w:hint="eastAsia"/>
          <w:sz w:val="28"/>
          <w:szCs w:val="24"/>
        </w:rPr>
        <w:t>的比例超过</w:t>
      </w:r>
      <w:r w:rsidR="00464571">
        <w:rPr>
          <w:rFonts w:ascii="仿宋" w:eastAsia="仿宋" w:hAnsi="仿宋" w:hint="eastAsia"/>
          <w:sz w:val="28"/>
          <w:szCs w:val="24"/>
        </w:rPr>
        <w:t>50%</w:t>
      </w:r>
      <w:r w:rsidR="000B662E">
        <w:rPr>
          <w:rStyle w:val="aa"/>
          <w:rFonts w:ascii="仿宋" w:eastAsia="仿宋" w:hAnsi="仿宋"/>
          <w:sz w:val="28"/>
          <w:szCs w:val="24"/>
        </w:rPr>
        <w:footnoteReference w:id="1"/>
      </w:r>
      <w:r w:rsidR="006775AD">
        <w:rPr>
          <w:rFonts w:ascii="仿宋" w:eastAsia="仿宋" w:hAnsi="仿宋" w:hint="eastAsia"/>
          <w:sz w:val="28"/>
          <w:szCs w:val="24"/>
        </w:rPr>
        <w:t>。</w:t>
      </w:r>
      <w:r w:rsidR="00721DEC">
        <w:rPr>
          <w:rFonts w:ascii="仿宋" w:eastAsia="仿宋" w:hAnsi="仿宋" w:hint="eastAsia"/>
          <w:sz w:val="28"/>
          <w:szCs w:val="24"/>
        </w:rPr>
        <w:t>手机厂商小米</w:t>
      </w:r>
      <w:r w:rsidR="008C50CE">
        <w:rPr>
          <w:rFonts w:ascii="仿宋" w:eastAsia="仿宋" w:hAnsi="仿宋" w:hint="eastAsia"/>
          <w:sz w:val="28"/>
          <w:szCs w:val="24"/>
        </w:rPr>
        <w:t>则</w:t>
      </w:r>
      <w:r w:rsidR="008A3383">
        <w:rPr>
          <w:rFonts w:ascii="仿宋" w:eastAsia="仿宋" w:hAnsi="仿宋" w:hint="eastAsia"/>
          <w:sz w:val="28"/>
          <w:szCs w:val="24"/>
        </w:rPr>
        <w:t>与</w:t>
      </w:r>
      <w:proofErr w:type="gramStart"/>
      <w:r w:rsidR="008A3383">
        <w:rPr>
          <w:rFonts w:ascii="仿宋" w:eastAsia="仿宋" w:hAnsi="仿宋" w:hint="eastAsia"/>
          <w:sz w:val="28"/>
          <w:szCs w:val="24"/>
        </w:rPr>
        <w:t>联芯合作</w:t>
      </w:r>
      <w:proofErr w:type="gramEnd"/>
      <w:r w:rsidR="008A3383">
        <w:rPr>
          <w:rFonts w:ascii="仿宋" w:eastAsia="仿宋" w:hAnsi="仿宋" w:hint="eastAsia"/>
          <w:sz w:val="28"/>
          <w:szCs w:val="24"/>
        </w:rPr>
        <w:t>开发定制芯片，并应用于其红米2A手机</w:t>
      </w:r>
      <w:r w:rsidR="00B63A7A">
        <w:rPr>
          <w:rFonts w:ascii="仿宋" w:eastAsia="仿宋" w:hAnsi="仿宋" w:hint="eastAsia"/>
          <w:sz w:val="28"/>
          <w:szCs w:val="24"/>
        </w:rPr>
        <w:t>。</w:t>
      </w:r>
      <w:r w:rsidR="00511C28">
        <w:rPr>
          <w:rFonts w:ascii="仿宋" w:eastAsia="仿宋" w:hAnsi="仿宋" w:hint="eastAsia"/>
          <w:sz w:val="28"/>
          <w:szCs w:val="24"/>
        </w:rPr>
        <w:t>这两方面因素致使</w:t>
      </w:r>
      <w:r w:rsidR="00996443">
        <w:rPr>
          <w:rFonts w:ascii="仿宋" w:eastAsia="仿宋" w:hAnsi="仿宋" w:hint="eastAsia"/>
          <w:sz w:val="28"/>
          <w:szCs w:val="24"/>
        </w:rPr>
        <w:t>国</w:t>
      </w:r>
      <w:r w:rsidR="00093F5B">
        <w:rPr>
          <w:rFonts w:ascii="仿宋" w:eastAsia="仿宋" w:hAnsi="仿宋" w:hint="eastAsia"/>
          <w:sz w:val="28"/>
          <w:szCs w:val="24"/>
        </w:rPr>
        <w:t>内</w:t>
      </w:r>
      <w:r w:rsidR="00511C28">
        <w:rPr>
          <w:rFonts w:ascii="仿宋" w:eastAsia="仿宋" w:hAnsi="仿宋" w:hint="eastAsia"/>
          <w:sz w:val="28"/>
          <w:szCs w:val="24"/>
        </w:rPr>
        <w:t>品牌4G芯片比例提升。</w:t>
      </w:r>
    </w:p>
    <w:p w:rsidR="00FB2C7D" w:rsidRPr="00B34334" w:rsidRDefault="00FB2C7D">
      <w:pPr>
        <w:rPr>
          <w:rFonts w:ascii="仿宋" w:eastAsia="仿宋" w:hAnsi="仿宋"/>
          <w:b/>
          <w:sz w:val="28"/>
          <w:szCs w:val="24"/>
        </w:rPr>
      </w:pPr>
      <w:r w:rsidRPr="00B34334">
        <w:rPr>
          <w:rFonts w:ascii="仿宋" w:eastAsia="仿宋" w:hAnsi="仿宋" w:hint="eastAsia"/>
          <w:b/>
          <w:sz w:val="28"/>
          <w:szCs w:val="24"/>
        </w:rPr>
        <w:t>三、</w:t>
      </w:r>
      <w:r w:rsidR="00733460">
        <w:rPr>
          <w:rFonts w:ascii="仿宋" w:eastAsia="仿宋" w:hAnsi="仿宋" w:hint="eastAsia"/>
          <w:b/>
          <w:sz w:val="28"/>
          <w:szCs w:val="24"/>
        </w:rPr>
        <w:t>八核</w:t>
      </w:r>
      <w:r w:rsidR="00716A8A">
        <w:rPr>
          <w:rFonts w:ascii="仿宋" w:eastAsia="仿宋" w:hAnsi="仿宋" w:hint="eastAsia"/>
          <w:b/>
          <w:sz w:val="28"/>
          <w:szCs w:val="24"/>
        </w:rPr>
        <w:t>手机处理器芯片</w:t>
      </w:r>
      <w:r w:rsidR="00733460">
        <w:rPr>
          <w:rFonts w:ascii="仿宋" w:eastAsia="仿宋" w:hAnsi="仿宋" w:hint="eastAsia"/>
          <w:b/>
          <w:sz w:val="28"/>
          <w:szCs w:val="24"/>
        </w:rPr>
        <w:t>出货加速</w:t>
      </w:r>
      <w:proofErr w:type="gramStart"/>
      <w:r w:rsidR="00733460">
        <w:rPr>
          <w:rFonts w:ascii="仿宋" w:eastAsia="仿宋" w:hAnsi="仿宋" w:hint="eastAsia"/>
          <w:b/>
          <w:sz w:val="28"/>
          <w:szCs w:val="24"/>
        </w:rPr>
        <w:t>替代四核</w:t>
      </w:r>
      <w:proofErr w:type="gramEnd"/>
    </w:p>
    <w:p w:rsidR="00FB2C7D" w:rsidRPr="00EC747D" w:rsidRDefault="00187F48" w:rsidP="00EC747D">
      <w:pPr>
        <w:ind w:firstLine="560"/>
        <w:rPr>
          <w:rFonts w:ascii="仿宋" w:eastAsia="仿宋" w:hAnsi="仿宋"/>
          <w:sz w:val="28"/>
          <w:szCs w:val="24"/>
        </w:rPr>
      </w:pPr>
      <w:r w:rsidRPr="00EC747D">
        <w:rPr>
          <w:rFonts w:ascii="仿宋" w:eastAsia="仿宋" w:hAnsi="仿宋" w:hint="eastAsia"/>
          <w:sz w:val="28"/>
          <w:szCs w:val="24"/>
        </w:rPr>
        <w:t>2015年</w:t>
      </w:r>
      <w:r w:rsidR="00F605F3">
        <w:rPr>
          <w:rFonts w:ascii="仿宋" w:eastAsia="仿宋" w:hAnsi="仿宋" w:hint="eastAsia"/>
          <w:sz w:val="28"/>
          <w:szCs w:val="24"/>
        </w:rPr>
        <w:t>，</w:t>
      </w:r>
      <w:r w:rsidR="000C31E5">
        <w:rPr>
          <w:rFonts w:ascii="仿宋" w:eastAsia="仿宋" w:hAnsi="仿宋" w:hint="eastAsia"/>
          <w:sz w:val="28"/>
          <w:szCs w:val="24"/>
        </w:rPr>
        <w:t>国内</w:t>
      </w:r>
      <w:r w:rsidR="00F605F3">
        <w:rPr>
          <w:rFonts w:ascii="仿宋" w:eastAsia="仿宋" w:hAnsi="仿宋" w:hint="eastAsia"/>
          <w:sz w:val="28"/>
          <w:szCs w:val="24"/>
        </w:rPr>
        <w:t>市场</w:t>
      </w:r>
      <w:r w:rsidR="00AF660F">
        <w:rPr>
          <w:rFonts w:ascii="仿宋" w:eastAsia="仿宋" w:hAnsi="仿宋" w:hint="eastAsia"/>
          <w:sz w:val="28"/>
          <w:szCs w:val="24"/>
        </w:rPr>
        <w:t>主流处理器芯片从</w:t>
      </w:r>
      <w:proofErr w:type="gramStart"/>
      <w:r w:rsidR="00AF660F">
        <w:rPr>
          <w:rFonts w:ascii="仿宋" w:eastAsia="仿宋" w:hAnsi="仿宋" w:hint="eastAsia"/>
          <w:sz w:val="28"/>
          <w:szCs w:val="24"/>
        </w:rPr>
        <w:t>四核向八核转移</w:t>
      </w:r>
      <w:proofErr w:type="gramEnd"/>
      <w:r w:rsidR="00AF660F">
        <w:rPr>
          <w:rFonts w:ascii="仿宋" w:eastAsia="仿宋" w:hAnsi="仿宋" w:hint="eastAsia"/>
          <w:sz w:val="28"/>
          <w:szCs w:val="24"/>
        </w:rPr>
        <w:t>趋势明显。</w:t>
      </w:r>
      <w:proofErr w:type="gramStart"/>
      <w:r w:rsidR="00F605F3">
        <w:rPr>
          <w:rFonts w:ascii="仿宋" w:eastAsia="仿宋" w:hAnsi="仿宋" w:hint="eastAsia"/>
          <w:sz w:val="28"/>
          <w:szCs w:val="24"/>
        </w:rPr>
        <w:t>八核</w:t>
      </w:r>
      <w:r w:rsidR="003E1389" w:rsidRPr="00EC747D">
        <w:rPr>
          <w:rFonts w:ascii="仿宋" w:eastAsia="仿宋" w:hAnsi="仿宋" w:hint="eastAsia"/>
          <w:sz w:val="28"/>
          <w:szCs w:val="24"/>
        </w:rPr>
        <w:t>应</w:t>
      </w:r>
      <w:r w:rsidR="003E1389" w:rsidRPr="00EC747D">
        <w:rPr>
          <w:rFonts w:ascii="仿宋" w:eastAsia="仿宋" w:hAnsi="仿宋" w:hint="eastAsia"/>
          <w:sz w:val="28"/>
          <w:szCs w:val="24"/>
        </w:rPr>
        <w:lastRenderedPageBreak/>
        <w:t>用</w:t>
      </w:r>
      <w:proofErr w:type="gramEnd"/>
      <w:r w:rsidR="003E1389" w:rsidRPr="00EC747D">
        <w:rPr>
          <w:rFonts w:ascii="仿宋" w:eastAsia="仿宋" w:hAnsi="仿宋" w:hint="eastAsia"/>
          <w:sz w:val="28"/>
          <w:szCs w:val="24"/>
        </w:rPr>
        <w:t>处理器</w:t>
      </w:r>
      <w:r w:rsidR="00F605F3">
        <w:rPr>
          <w:rFonts w:ascii="仿宋" w:eastAsia="仿宋" w:hAnsi="仿宋" w:hint="eastAsia"/>
          <w:sz w:val="28"/>
          <w:szCs w:val="24"/>
        </w:rPr>
        <w:t>智能</w:t>
      </w:r>
      <w:proofErr w:type="gramStart"/>
      <w:r w:rsidR="00F605F3">
        <w:rPr>
          <w:rFonts w:ascii="仿宋" w:eastAsia="仿宋" w:hAnsi="仿宋" w:hint="eastAsia"/>
          <w:sz w:val="28"/>
          <w:szCs w:val="24"/>
        </w:rPr>
        <w:t>手机占</w:t>
      </w:r>
      <w:proofErr w:type="gramEnd"/>
      <w:r w:rsidR="00F605F3">
        <w:rPr>
          <w:rFonts w:ascii="仿宋" w:eastAsia="仿宋" w:hAnsi="仿宋" w:hint="eastAsia"/>
          <w:sz w:val="28"/>
          <w:szCs w:val="24"/>
        </w:rPr>
        <w:t>比快速增长，从2014年底的7.5%跃升至2015年底的36.8%</w:t>
      </w:r>
      <w:r w:rsidR="004B4A51">
        <w:rPr>
          <w:rFonts w:ascii="仿宋" w:eastAsia="仿宋" w:hAnsi="仿宋" w:hint="eastAsia"/>
          <w:sz w:val="28"/>
          <w:szCs w:val="24"/>
        </w:rPr>
        <w:t>，</w:t>
      </w:r>
      <w:proofErr w:type="gramStart"/>
      <w:r w:rsidR="0037311F" w:rsidRPr="00EC747D">
        <w:rPr>
          <w:rFonts w:ascii="仿宋" w:eastAsia="仿宋" w:hAnsi="仿宋" w:hint="eastAsia"/>
          <w:sz w:val="28"/>
          <w:szCs w:val="24"/>
        </w:rPr>
        <w:t>四核智能手机占</w:t>
      </w:r>
      <w:proofErr w:type="gramEnd"/>
      <w:r w:rsidR="0037311F" w:rsidRPr="00EC747D">
        <w:rPr>
          <w:rFonts w:ascii="仿宋" w:eastAsia="仿宋" w:hAnsi="仿宋" w:hint="eastAsia"/>
          <w:sz w:val="28"/>
          <w:szCs w:val="24"/>
        </w:rPr>
        <w:t>比不断下降，从2014年底的67.1%下降至2015年底的44.8%</w:t>
      </w:r>
      <w:r w:rsidR="001A64B4">
        <w:rPr>
          <w:rFonts w:ascii="仿宋" w:eastAsia="仿宋" w:hAnsi="仿宋" w:hint="eastAsia"/>
          <w:sz w:val="28"/>
          <w:szCs w:val="24"/>
        </w:rPr>
        <w:t>。</w:t>
      </w:r>
      <w:r w:rsidR="00CE42B0" w:rsidRPr="00EC747D">
        <w:rPr>
          <w:rFonts w:ascii="仿宋" w:eastAsia="仿宋" w:hAnsi="仿宋" w:hint="eastAsia"/>
          <w:sz w:val="28"/>
          <w:szCs w:val="24"/>
        </w:rPr>
        <w:t>双核</w:t>
      </w:r>
      <w:r w:rsidR="001A64B4">
        <w:rPr>
          <w:rFonts w:ascii="仿宋" w:eastAsia="仿宋" w:hAnsi="仿宋" w:hint="eastAsia"/>
          <w:sz w:val="28"/>
          <w:szCs w:val="24"/>
        </w:rPr>
        <w:t>和单核智能处理器芯片</w:t>
      </w:r>
      <w:r w:rsidR="00CE42B0" w:rsidRPr="00EC747D">
        <w:rPr>
          <w:rFonts w:ascii="仿宋" w:eastAsia="仿宋" w:hAnsi="仿宋" w:hint="eastAsia"/>
          <w:sz w:val="28"/>
          <w:szCs w:val="24"/>
        </w:rPr>
        <w:t>比例</w:t>
      </w:r>
      <w:r w:rsidR="001A64B4">
        <w:rPr>
          <w:rFonts w:ascii="仿宋" w:eastAsia="仿宋" w:hAnsi="仿宋" w:hint="eastAsia"/>
          <w:sz w:val="28"/>
          <w:szCs w:val="24"/>
        </w:rPr>
        <w:t>则进一步缩小</w:t>
      </w:r>
      <w:r w:rsidR="00884382" w:rsidRPr="00EC747D">
        <w:rPr>
          <w:rFonts w:ascii="仿宋" w:eastAsia="仿宋" w:hAnsi="仿宋" w:hint="eastAsia"/>
          <w:sz w:val="28"/>
          <w:szCs w:val="24"/>
        </w:rPr>
        <w:t>，</w:t>
      </w:r>
      <w:r w:rsidR="001A64B4">
        <w:rPr>
          <w:rFonts w:ascii="仿宋" w:eastAsia="仿宋" w:hAnsi="仿宋" w:hint="eastAsia"/>
          <w:sz w:val="28"/>
          <w:szCs w:val="24"/>
        </w:rPr>
        <w:t>分别</w:t>
      </w:r>
      <w:r w:rsidR="00CE42B0" w:rsidRPr="00EC747D">
        <w:rPr>
          <w:rFonts w:ascii="仿宋" w:eastAsia="仿宋" w:hAnsi="仿宋" w:hint="eastAsia"/>
          <w:sz w:val="28"/>
          <w:szCs w:val="24"/>
        </w:rPr>
        <w:t>从2014年底的22.8%</w:t>
      </w:r>
      <w:r w:rsidR="000F0239">
        <w:rPr>
          <w:rFonts w:ascii="仿宋" w:eastAsia="仿宋" w:hAnsi="仿宋" w:hint="eastAsia"/>
          <w:sz w:val="28"/>
          <w:szCs w:val="24"/>
        </w:rPr>
        <w:t>和</w:t>
      </w:r>
      <w:r w:rsidR="001A64B4">
        <w:rPr>
          <w:rFonts w:ascii="仿宋" w:eastAsia="仿宋" w:hAnsi="仿宋" w:hint="eastAsia"/>
          <w:sz w:val="28"/>
          <w:szCs w:val="24"/>
        </w:rPr>
        <w:t>2.6%</w:t>
      </w:r>
      <w:r w:rsidR="00CE42B0" w:rsidRPr="00EC747D">
        <w:rPr>
          <w:rFonts w:ascii="仿宋" w:eastAsia="仿宋" w:hAnsi="仿宋" w:hint="eastAsia"/>
          <w:sz w:val="28"/>
          <w:szCs w:val="24"/>
        </w:rPr>
        <w:t>降至2015年底的15.9%</w:t>
      </w:r>
      <w:r w:rsidR="000F0239">
        <w:rPr>
          <w:rFonts w:ascii="仿宋" w:eastAsia="仿宋" w:hAnsi="仿宋" w:hint="eastAsia"/>
          <w:sz w:val="28"/>
          <w:szCs w:val="24"/>
        </w:rPr>
        <w:t>和</w:t>
      </w:r>
      <w:r w:rsidR="001A64B4">
        <w:rPr>
          <w:rFonts w:ascii="仿宋" w:eastAsia="仿宋" w:hAnsi="仿宋" w:hint="eastAsia"/>
          <w:sz w:val="28"/>
          <w:szCs w:val="24"/>
        </w:rPr>
        <w:t>0.1%</w:t>
      </w:r>
      <w:r w:rsidR="0037311F" w:rsidRPr="00EC747D">
        <w:rPr>
          <w:rFonts w:ascii="仿宋" w:eastAsia="仿宋" w:hAnsi="仿宋" w:hint="eastAsia"/>
          <w:sz w:val="28"/>
          <w:szCs w:val="24"/>
        </w:rPr>
        <w:t>。</w:t>
      </w:r>
    </w:p>
    <w:p w:rsidR="00F13C63" w:rsidRDefault="002D18B7" w:rsidP="00FB3E3A">
      <w:pPr>
        <w:spacing w:before="120"/>
        <w:jc w:val="center"/>
        <w:rPr>
          <w:rFonts w:ascii="Verdana" w:hAnsi="Verdana"/>
          <w:b/>
          <w:sz w:val="20"/>
        </w:rPr>
      </w:pPr>
      <w:r>
        <w:rPr>
          <w:noProof/>
        </w:rPr>
        <w:drawing>
          <wp:inline distT="0" distB="0" distL="0" distR="0" wp14:anchorId="6B957C77" wp14:editId="60D4E421">
            <wp:extent cx="4572000" cy="27432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13C63" w:rsidRPr="00E25017" w:rsidRDefault="00F13C63" w:rsidP="00F13C63">
      <w:pPr>
        <w:spacing w:before="120"/>
        <w:jc w:val="right"/>
        <w:rPr>
          <w:rFonts w:ascii="Verdana" w:hAnsi="Verdana"/>
          <w:b/>
          <w:sz w:val="20"/>
        </w:rPr>
      </w:pPr>
      <w:r>
        <w:rPr>
          <w:rFonts w:ascii="Verdana" w:hAnsi="Verdana" w:hint="eastAsia"/>
          <w:b/>
          <w:sz w:val="20"/>
        </w:rPr>
        <w:t>数据来源</w:t>
      </w:r>
      <w:r w:rsidRPr="00463D94">
        <w:rPr>
          <w:rFonts w:ascii="Calibri" w:hAnsi="Calibri"/>
          <w:b/>
          <w:sz w:val="20"/>
        </w:rPr>
        <w:t>：</w:t>
      </w:r>
      <w:r>
        <w:rPr>
          <w:rFonts w:ascii="Calibri" w:hAnsi="Calibri" w:hint="eastAsia"/>
          <w:b/>
          <w:sz w:val="20"/>
        </w:rPr>
        <w:t>中国信息通信研究院</w:t>
      </w:r>
    </w:p>
    <w:p w:rsidR="00003EA0" w:rsidRDefault="00544EC3" w:rsidP="008A2B93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proofErr w:type="gramStart"/>
      <w:r>
        <w:rPr>
          <w:rFonts w:ascii="仿宋" w:eastAsia="仿宋" w:hAnsi="仿宋"/>
          <w:sz w:val="28"/>
          <w:szCs w:val="24"/>
        </w:rPr>
        <w:t>联发科</w:t>
      </w:r>
      <w:r w:rsidR="0015435A" w:rsidRPr="00544EC3">
        <w:rPr>
          <w:rFonts w:ascii="仿宋" w:eastAsia="仿宋" w:hAnsi="仿宋"/>
          <w:sz w:val="28"/>
          <w:szCs w:val="24"/>
        </w:rPr>
        <w:t>一直</w:t>
      </w:r>
      <w:proofErr w:type="gramEnd"/>
      <w:r w:rsidR="0015435A" w:rsidRPr="00544EC3">
        <w:rPr>
          <w:rFonts w:ascii="仿宋" w:eastAsia="仿宋" w:hAnsi="仿宋"/>
          <w:sz w:val="28"/>
          <w:szCs w:val="24"/>
        </w:rPr>
        <w:t>是多核</w:t>
      </w:r>
      <w:r w:rsidR="0015435A" w:rsidRPr="00544EC3">
        <w:rPr>
          <w:rFonts w:ascii="仿宋" w:eastAsia="仿宋" w:hAnsi="仿宋" w:hint="eastAsia"/>
          <w:sz w:val="28"/>
          <w:szCs w:val="24"/>
        </w:rPr>
        <w:t>的积极倡导者，</w:t>
      </w:r>
      <w:r w:rsidR="004D77CB" w:rsidRPr="00544EC3">
        <w:rPr>
          <w:rFonts w:ascii="仿宋" w:eastAsia="仿宋" w:hAnsi="仿宋" w:hint="eastAsia"/>
          <w:sz w:val="28"/>
          <w:szCs w:val="24"/>
        </w:rPr>
        <w:t>而高通则表示未来会致力于更少核心芯片的开发，</w:t>
      </w:r>
      <w:r w:rsidR="00FD28D3">
        <w:rPr>
          <w:rFonts w:ascii="仿宋" w:eastAsia="仿宋" w:hAnsi="仿宋" w:hint="eastAsia"/>
          <w:sz w:val="28"/>
          <w:szCs w:val="24"/>
        </w:rPr>
        <w:t>国内</w:t>
      </w:r>
      <w:r w:rsidR="00E3651E" w:rsidRPr="004D77CB">
        <w:rPr>
          <w:rFonts w:ascii="仿宋" w:eastAsia="仿宋" w:hAnsi="仿宋" w:hint="eastAsia"/>
          <w:sz w:val="28"/>
          <w:szCs w:val="24"/>
        </w:rPr>
        <w:t>芯片厂商</w:t>
      </w:r>
      <w:r w:rsidR="004D77CB">
        <w:rPr>
          <w:rFonts w:ascii="仿宋" w:eastAsia="仿宋" w:hAnsi="仿宋" w:hint="eastAsia"/>
          <w:sz w:val="28"/>
          <w:szCs w:val="24"/>
        </w:rPr>
        <w:t>则</w:t>
      </w:r>
      <w:r w:rsidR="00E3651E" w:rsidRPr="004D77CB">
        <w:rPr>
          <w:rFonts w:ascii="仿宋" w:eastAsia="仿宋" w:hAnsi="仿宋" w:hint="eastAsia"/>
          <w:sz w:val="28"/>
          <w:szCs w:val="24"/>
        </w:rPr>
        <w:t>紧跟多核心发展脚步</w:t>
      </w:r>
      <w:r w:rsidR="005860EE" w:rsidRPr="00544EC3">
        <w:rPr>
          <w:rFonts w:ascii="仿宋" w:eastAsia="仿宋" w:hAnsi="仿宋" w:hint="eastAsia"/>
          <w:sz w:val="28"/>
          <w:szCs w:val="24"/>
        </w:rPr>
        <w:t>。</w:t>
      </w:r>
      <w:r w:rsidR="001418D8" w:rsidRPr="00544EC3">
        <w:rPr>
          <w:rFonts w:ascii="仿宋" w:eastAsia="仿宋" w:hAnsi="仿宋" w:hint="eastAsia"/>
          <w:sz w:val="28"/>
          <w:szCs w:val="24"/>
        </w:rPr>
        <w:t>虽然</w:t>
      </w:r>
      <w:r w:rsidR="00FB20D7" w:rsidRPr="00544EC3">
        <w:rPr>
          <w:rFonts w:ascii="仿宋" w:eastAsia="仿宋" w:hAnsi="仿宋" w:hint="eastAsia"/>
          <w:sz w:val="28"/>
          <w:szCs w:val="24"/>
        </w:rPr>
        <w:t>业界</w:t>
      </w:r>
      <w:r w:rsidR="001418D8" w:rsidRPr="00544EC3">
        <w:rPr>
          <w:rFonts w:ascii="仿宋" w:eastAsia="仿宋" w:hAnsi="仿宋" w:hint="eastAsia"/>
          <w:sz w:val="28"/>
          <w:szCs w:val="24"/>
        </w:rPr>
        <w:t>关于处理器核数与效能之间关系一直存在</w:t>
      </w:r>
      <w:r w:rsidR="00FB20D7" w:rsidRPr="00544EC3">
        <w:rPr>
          <w:rFonts w:ascii="仿宋" w:eastAsia="仿宋" w:hAnsi="仿宋" w:hint="eastAsia"/>
          <w:sz w:val="28"/>
          <w:szCs w:val="24"/>
        </w:rPr>
        <w:t>争议</w:t>
      </w:r>
      <w:r w:rsidR="001418D8" w:rsidRPr="00544EC3">
        <w:rPr>
          <w:rFonts w:ascii="仿宋" w:eastAsia="仿宋" w:hAnsi="仿宋" w:hint="eastAsia"/>
          <w:sz w:val="28"/>
          <w:szCs w:val="24"/>
        </w:rPr>
        <w:t>，但如今</w:t>
      </w:r>
      <w:r w:rsidR="0035471B" w:rsidRPr="00544EC3">
        <w:rPr>
          <w:rFonts w:ascii="仿宋" w:eastAsia="仿宋" w:hAnsi="仿宋" w:hint="eastAsia"/>
          <w:sz w:val="28"/>
          <w:szCs w:val="24"/>
        </w:rPr>
        <w:t>更多核心数俨然成为高端智能手机营销策略，且获得市场认同</w:t>
      </w:r>
      <w:r w:rsidR="00D02C30" w:rsidRPr="00544EC3">
        <w:rPr>
          <w:rFonts w:ascii="仿宋" w:eastAsia="仿宋" w:hAnsi="仿宋" w:hint="eastAsia"/>
          <w:sz w:val="28"/>
          <w:szCs w:val="24"/>
        </w:rPr>
        <w:t>，</w:t>
      </w:r>
      <w:r w:rsidR="007D52D1" w:rsidRPr="00544EC3">
        <w:rPr>
          <w:rFonts w:ascii="仿宋" w:eastAsia="仿宋" w:hAnsi="仿宋" w:hint="eastAsia"/>
          <w:sz w:val="28"/>
          <w:szCs w:val="24"/>
        </w:rPr>
        <w:t>三星、华为、中兴、LG</w:t>
      </w:r>
      <w:r w:rsidR="001912CD" w:rsidRPr="00544EC3">
        <w:rPr>
          <w:rFonts w:ascii="仿宋" w:eastAsia="仿宋" w:hAnsi="仿宋" w:hint="eastAsia"/>
          <w:sz w:val="28"/>
          <w:szCs w:val="24"/>
        </w:rPr>
        <w:t>等多个手机厂商2016年将发布的</w:t>
      </w:r>
      <w:r w:rsidR="007D52D1" w:rsidRPr="00544EC3">
        <w:rPr>
          <w:rFonts w:ascii="仿宋" w:eastAsia="仿宋" w:hAnsi="仿宋" w:hint="eastAsia"/>
          <w:sz w:val="28"/>
          <w:szCs w:val="24"/>
        </w:rPr>
        <w:t>新款</w:t>
      </w:r>
      <w:r w:rsidR="001912CD" w:rsidRPr="00544EC3">
        <w:rPr>
          <w:rFonts w:ascii="仿宋" w:eastAsia="仿宋" w:hAnsi="仿宋" w:hint="eastAsia"/>
          <w:sz w:val="28"/>
          <w:szCs w:val="24"/>
        </w:rPr>
        <w:t>手</w:t>
      </w:r>
      <w:r w:rsidR="00003EA0" w:rsidRPr="00544EC3">
        <w:rPr>
          <w:rFonts w:ascii="仿宋" w:eastAsia="仿宋" w:hAnsi="仿宋" w:hint="eastAsia"/>
          <w:sz w:val="28"/>
          <w:szCs w:val="24"/>
        </w:rPr>
        <w:t>机</w:t>
      </w:r>
      <w:r w:rsidR="001912CD" w:rsidRPr="00544EC3">
        <w:rPr>
          <w:rFonts w:ascii="仿宋" w:eastAsia="仿宋" w:hAnsi="仿宋" w:hint="eastAsia"/>
          <w:sz w:val="28"/>
          <w:szCs w:val="24"/>
        </w:rPr>
        <w:t>处理器</w:t>
      </w:r>
      <w:r w:rsidR="004A4B7A" w:rsidRPr="00544EC3">
        <w:rPr>
          <w:rFonts w:ascii="仿宋" w:eastAsia="仿宋" w:hAnsi="仿宋" w:hint="eastAsia"/>
          <w:sz w:val="28"/>
          <w:szCs w:val="24"/>
        </w:rPr>
        <w:t>仍</w:t>
      </w:r>
      <w:r w:rsidR="001912CD" w:rsidRPr="00544EC3">
        <w:rPr>
          <w:rFonts w:ascii="仿宋" w:eastAsia="仿宋" w:hAnsi="仿宋" w:hint="eastAsia"/>
          <w:sz w:val="28"/>
          <w:szCs w:val="24"/>
        </w:rPr>
        <w:t>以8核为主，</w:t>
      </w:r>
      <w:r w:rsidR="004A4B7A" w:rsidRPr="00544EC3">
        <w:rPr>
          <w:rFonts w:ascii="仿宋" w:eastAsia="仿宋" w:hAnsi="仿宋" w:hint="eastAsia"/>
          <w:sz w:val="28"/>
          <w:szCs w:val="24"/>
        </w:rPr>
        <w:t>部分款型将采用10核</w:t>
      </w:r>
      <w:r w:rsidR="00BB378A" w:rsidRPr="00544EC3">
        <w:rPr>
          <w:rFonts w:ascii="仿宋" w:eastAsia="仿宋" w:hAnsi="仿宋" w:hint="eastAsia"/>
          <w:sz w:val="28"/>
          <w:szCs w:val="24"/>
        </w:rPr>
        <w:t>，因此</w:t>
      </w:r>
      <w:r w:rsidR="00E71437" w:rsidRPr="00544EC3">
        <w:rPr>
          <w:rFonts w:ascii="仿宋" w:eastAsia="仿宋" w:hAnsi="仿宋" w:hint="eastAsia"/>
          <w:sz w:val="28"/>
          <w:szCs w:val="24"/>
        </w:rPr>
        <w:t>核数竞赛</w:t>
      </w:r>
      <w:r w:rsidR="00BB378A" w:rsidRPr="00544EC3">
        <w:rPr>
          <w:rFonts w:ascii="仿宋" w:eastAsia="仿宋" w:hAnsi="仿宋" w:hint="eastAsia"/>
          <w:sz w:val="28"/>
          <w:szCs w:val="24"/>
        </w:rPr>
        <w:t>趋势</w:t>
      </w:r>
      <w:r w:rsidR="00E71437" w:rsidRPr="00544EC3">
        <w:rPr>
          <w:rFonts w:ascii="仿宋" w:eastAsia="仿宋" w:hAnsi="仿宋" w:hint="eastAsia"/>
          <w:sz w:val="28"/>
          <w:szCs w:val="24"/>
        </w:rPr>
        <w:t>仍将持续</w:t>
      </w:r>
      <w:r w:rsidR="00BB378A" w:rsidRPr="00544EC3">
        <w:rPr>
          <w:rFonts w:ascii="仿宋" w:eastAsia="仿宋" w:hAnsi="仿宋" w:hint="eastAsia"/>
          <w:sz w:val="28"/>
          <w:szCs w:val="24"/>
        </w:rPr>
        <w:t>。</w:t>
      </w:r>
    </w:p>
    <w:p w:rsidR="00BE6FD2" w:rsidRDefault="00BE6FD2" w:rsidP="00BE6FD2">
      <w:pPr>
        <w:spacing w:before="120"/>
        <w:jc w:val="right"/>
        <w:rPr>
          <w:rFonts w:ascii="Verdana" w:hAnsi="Verdana"/>
          <w:b/>
          <w:sz w:val="20"/>
        </w:rPr>
      </w:pPr>
    </w:p>
    <w:p w:rsidR="00BE6FD2" w:rsidRDefault="00EC2E60" w:rsidP="00B162FE">
      <w:pPr>
        <w:spacing w:before="120"/>
        <w:jc w:val="center"/>
        <w:rPr>
          <w:rFonts w:ascii="Verdana" w:hAnsi="Verdana"/>
          <w:b/>
          <w:sz w:val="20"/>
        </w:rPr>
      </w:pPr>
      <w:r>
        <w:rPr>
          <w:noProof/>
        </w:rPr>
        <w:lastRenderedPageBreak/>
        <w:drawing>
          <wp:inline distT="0" distB="0" distL="0" distR="0" wp14:anchorId="7B783E80" wp14:editId="4F02B96C">
            <wp:extent cx="4572000" cy="274320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FD2" w:rsidRPr="00E25017" w:rsidRDefault="00BE6FD2" w:rsidP="00BE6FD2">
      <w:pPr>
        <w:spacing w:before="120"/>
        <w:jc w:val="right"/>
        <w:rPr>
          <w:rFonts w:ascii="Verdana" w:hAnsi="Verdana"/>
          <w:b/>
          <w:sz w:val="20"/>
        </w:rPr>
      </w:pPr>
      <w:r>
        <w:rPr>
          <w:rFonts w:ascii="Verdana" w:hAnsi="Verdana" w:hint="eastAsia"/>
          <w:b/>
          <w:sz w:val="20"/>
        </w:rPr>
        <w:t>数据来源</w:t>
      </w:r>
      <w:r w:rsidRPr="00463D94">
        <w:rPr>
          <w:rFonts w:ascii="Calibri" w:hAnsi="Calibri"/>
          <w:b/>
          <w:sz w:val="20"/>
        </w:rPr>
        <w:t>：</w:t>
      </w:r>
      <w:r>
        <w:rPr>
          <w:rFonts w:ascii="Calibri" w:hAnsi="Calibri" w:hint="eastAsia"/>
          <w:b/>
          <w:sz w:val="20"/>
        </w:rPr>
        <w:t>中国信息通信研究院</w:t>
      </w:r>
    </w:p>
    <w:p w:rsidR="00003EA0" w:rsidRPr="00544EC3" w:rsidRDefault="004C7637" w:rsidP="003F5936">
      <w:pPr>
        <w:ind w:firstLine="560"/>
        <w:rPr>
          <w:rFonts w:ascii="仿宋" w:eastAsia="仿宋" w:hAnsi="仿宋"/>
          <w:sz w:val="28"/>
          <w:szCs w:val="24"/>
        </w:rPr>
      </w:pPr>
      <w:r w:rsidRPr="00544EC3">
        <w:rPr>
          <w:rFonts w:ascii="仿宋" w:eastAsia="仿宋" w:hAnsi="仿宋" w:hint="eastAsia"/>
          <w:sz w:val="28"/>
          <w:szCs w:val="24"/>
        </w:rPr>
        <w:t>处理器核数的增长势必带来</w:t>
      </w:r>
      <w:r w:rsidR="00323F2F" w:rsidRPr="00544EC3">
        <w:rPr>
          <w:rFonts w:ascii="仿宋" w:eastAsia="仿宋" w:hAnsi="仿宋" w:hint="eastAsia"/>
          <w:sz w:val="28"/>
          <w:szCs w:val="24"/>
        </w:rPr>
        <w:t>功耗</w:t>
      </w:r>
      <w:r w:rsidR="009F4AC3" w:rsidRPr="00544EC3">
        <w:rPr>
          <w:rFonts w:ascii="仿宋" w:eastAsia="仿宋" w:hAnsi="仿宋" w:hint="eastAsia"/>
          <w:sz w:val="28"/>
          <w:szCs w:val="24"/>
        </w:rPr>
        <w:t>增加</w:t>
      </w:r>
      <w:r w:rsidR="00CB076E" w:rsidRPr="00544EC3">
        <w:rPr>
          <w:rFonts w:ascii="仿宋" w:eastAsia="仿宋" w:hAnsi="仿宋" w:hint="eastAsia"/>
          <w:sz w:val="28"/>
          <w:szCs w:val="24"/>
        </w:rPr>
        <w:t>，</w:t>
      </w:r>
      <w:r w:rsidR="007C2954" w:rsidRPr="00544EC3">
        <w:rPr>
          <w:rFonts w:ascii="仿宋" w:eastAsia="仿宋" w:hAnsi="仿宋" w:hint="eastAsia"/>
          <w:sz w:val="28"/>
          <w:szCs w:val="24"/>
        </w:rPr>
        <w:t>如何</w:t>
      </w:r>
      <w:r w:rsidR="000A6569" w:rsidRPr="00544EC3">
        <w:rPr>
          <w:rFonts w:ascii="仿宋" w:eastAsia="仿宋" w:hAnsi="仿宋" w:hint="eastAsia"/>
          <w:sz w:val="28"/>
          <w:szCs w:val="24"/>
        </w:rPr>
        <w:t>在性</w:t>
      </w:r>
      <w:r w:rsidR="007C2954" w:rsidRPr="00544EC3">
        <w:rPr>
          <w:rFonts w:ascii="仿宋" w:eastAsia="仿宋" w:hAnsi="仿宋" w:hint="eastAsia"/>
          <w:sz w:val="28"/>
          <w:szCs w:val="24"/>
        </w:rPr>
        <w:t>能与功耗</w:t>
      </w:r>
      <w:r w:rsidR="007463B0" w:rsidRPr="00544EC3">
        <w:rPr>
          <w:rFonts w:ascii="仿宋" w:eastAsia="仿宋" w:hAnsi="仿宋" w:hint="eastAsia"/>
          <w:sz w:val="28"/>
          <w:szCs w:val="24"/>
        </w:rPr>
        <w:t>之间取得平衡</w:t>
      </w:r>
      <w:r w:rsidR="007C2954" w:rsidRPr="00544EC3">
        <w:rPr>
          <w:rFonts w:ascii="仿宋" w:eastAsia="仿宋" w:hAnsi="仿宋" w:hint="eastAsia"/>
          <w:sz w:val="28"/>
          <w:szCs w:val="24"/>
        </w:rPr>
        <w:t>是</w:t>
      </w:r>
      <w:r w:rsidR="007463B0" w:rsidRPr="00544EC3">
        <w:rPr>
          <w:rFonts w:ascii="仿宋" w:eastAsia="仿宋" w:hAnsi="仿宋" w:hint="eastAsia"/>
          <w:sz w:val="28"/>
          <w:szCs w:val="24"/>
        </w:rPr>
        <w:t>芯片</w:t>
      </w:r>
      <w:r w:rsidR="00CB076E" w:rsidRPr="00544EC3">
        <w:rPr>
          <w:rFonts w:ascii="仿宋" w:eastAsia="仿宋" w:hAnsi="仿宋" w:hint="eastAsia"/>
          <w:sz w:val="28"/>
          <w:szCs w:val="24"/>
        </w:rPr>
        <w:t>厂商</w:t>
      </w:r>
      <w:r w:rsidR="007463B0" w:rsidRPr="00544EC3">
        <w:rPr>
          <w:rFonts w:ascii="仿宋" w:eastAsia="仿宋" w:hAnsi="仿宋" w:hint="eastAsia"/>
          <w:sz w:val="28"/>
          <w:szCs w:val="24"/>
        </w:rPr>
        <w:t>需要考虑的问题。当前</w:t>
      </w:r>
      <w:r w:rsidR="00E22749" w:rsidRPr="00544EC3">
        <w:rPr>
          <w:rFonts w:ascii="仿宋" w:eastAsia="仿宋" w:hAnsi="仿宋" w:hint="eastAsia"/>
          <w:sz w:val="28"/>
          <w:szCs w:val="24"/>
        </w:rPr>
        <w:t>厂商</w:t>
      </w:r>
      <w:r w:rsidR="00CB076E" w:rsidRPr="00544EC3">
        <w:rPr>
          <w:rFonts w:ascii="仿宋" w:eastAsia="仿宋" w:hAnsi="仿宋" w:hint="eastAsia"/>
          <w:sz w:val="28"/>
          <w:szCs w:val="24"/>
        </w:rPr>
        <w:t>主要从两方面</w:t>
      </w:r>
      <w:r w:rsidR="00BD5343" w:rsidRPr="00544EC3">
        <w:rPr>
          <w:rFonts w:ascii="仿宋" w:eastAsia="仿宋" w:hAnsi="仿宋" w:hint="eastAsia"/>
          <w:sz w:val="28"/>
          <w:szCs w:val="24"/>
        </w:rPr>
        <w:t>进行</w:t>
      </w:r>
      <w:r w:rsidR="00E22749" w:rsidRPr="00544EC3">
        <w:rPr>
          <w:rFonts w:ascii="仿宋" w:eastAsia="仿宋" w:hAnsi="仿宋" w:hint="eastAsia"/>
          <w:sz w:val="28"/>
          <w:szCs w:val="24"/>
        </w:rPr>
        <w:t>优化</w:t>
      </w:r>
      <w:r w:rsidR="00BD5343" w:rsidRPr="00544EC3">
        <w:rPr>
          <w:rFonts w:ascii="仿宋" w:eastAsia="仿宋" w:hAnsi="仿宋" w:hint="eastAsia"/>
          <w:sz w:val="28"/>
          <w:szCs w:val="24"/>
        </w:rPr>
        <w:t>提升</w:t>
      </w:r>
      <w:r w:rsidR="00E22749" w:rsidRPr="00544EC3">
        <w:rPr>
          <w:rFonts w:ascii="仿宋" w:eastAsia="仿宋" w:hAnsi="仿宋" w:hint="eastAsia"/>
          <w:sz w:val="28"/>
          <w:szCs w:val="24"/>
        </w:rPr>
        <w:t>，</w:t>
      </w:r>
      <w:r w:rsidR="009F4AC3" w:rsidRPr="00544EC3">
        <w:rPr>
          <w:rFonts w:ascii="仿宋" w:eastAsia="仿宋" w:hAnsi="仿宋" w:hint="eastAsia"/>
          <w:sz w:val="28"/>
          <w:szCs w:val="24"/>
        </w:rPr>
        <w:t>一是</w:t>
      </w:r>
      <w:r w:rsidR="003C4484" w:rsidRPr="00544EC3">
        <w:rPr>
          <w:rFonts w:ascii="仿宋" w:eastAsia="仿宋" w:hAnsi="仿宋" w:hint="eastAsia"/>
          <w:sz w:val="28"/>
          <w:szCs w:val="24"/>
        </w:rPr>
        <w:t>采用先进的</w:t>
      </w:r>
      <w:r w:rsidR="009F4AC3" w:rsidRPr="00544EC3">
        <w:rPr>
          <w:rFonts w:ascii="仿宋" w:eastAsia="仿宋" w:hAnsi="仿宋" w:hint="eastAsia"/>
          <w:sz w:val="28"/>
          <w:szCs w:val="24"/>
        </w:rPr>
        <w:t>基础架构</w:t>
      </w:r>
      <w:r w:rsidR="000A6569" w:rsidRPr="00544EC3">
        <w:rPr>
          <w:rFonts w:ascii="仿宋" w:eastAsia="仿宋" w:hAnsi="仿宋" w:hint="eastAsia"/>
          <w:sz w:val="28"/>
          <w:szCs w:val="24"/>
        </w:rPr>
        <w:t>。</w:t>
      </w:r>
      <w:r w:rsidR="00B20E26" w:rsidRPr="00544EC3">
        <w:rPr>
          <w:rFonts w:ascii="仿宋" w:eastAsia="仿宋" w:hAnsi="仿宋" w:hint="eastAsia"/>
          <w:sz w:val="28"/>
          <w:szCs w:val="24"/>
        </w:rPr>
        <w:t>例如</w:t>
      </w:r>
      <w:r w:rsidR="008C7C3A" w:rsidRPr="00544EC3">
        <w:rPr>
          <w:rFonts w:ascii="仿宋" w:eastAsia="仿宋" w:hAnsi="仿宋"/>
          <w:sz w:val="28"/>
          <w:szCs w:val="24"/>
        </w:rPr>
        <w:t>麒麟</w:t>
      </w:r>
      <w:r w:rsidR="008C7C3A" w:rsidRPr="00544EC3">
        <w:rPr>
          <w:rFonts w:ascii="仿宋" w:eastAsia="仿宋" w:hAnsi="仿宋" w:hint="eastAsia"/>
          <w:sz w:val="28"/>
          <w:szCs w:val="24"/>
        </w:rPr>
        <w:t>950采用</w:t>
      </w:r>
      <w:r w:rsidR="002B7FEB">
        <w:rPr>
          <w:rFonts w:ascii="仿宋" w:eastAsia="仿宋" w:hAnsi="仿宋" w:hint="eastAsia"/>
          <w:sz w:val="28"/>
          <w:szCs w:val="24"/>
        </w:rPr>
        <w:t>了先进的</w:t>
      </w:r>
      <w:r w:rsidR="00B20E26" w:rsidRPr="00544EC3">
        <w:rPr>
          <w:rFonts w:ascii="仿宋" w:eastAsia="仿宋" w:hAnsi="仿宋"/>
          <w:sz w:val="28"/>
          <w:szCs w:val="24"/>
        </w:rPr>
        <w:t>Cortex-A</w:t>
      </w:r>
      <w:r w:rsidR="00B20E26" w:rsidRPr="00544EC3">
        <w:rPr>
          <w:rFonts w:ascii="仿宋" w:eastAsia="仿宋" w:hAnsi="仿宋" w:hint="eastAsia"/>
          <w:sz w:val="28"/>
          <w:szCs w:val="24"/>
        </w:rPr>
        <w:t>72</w:t>
      </w:r>
      <w:r w:rsidR="00D72D2C" w:rsidRPr="00544EC3">
        <w:rPr>
          <w:rFonts w:ascii="仿宋" w:eastAsia="仿宋" w:hAnsi="仿宋" w:hint="eastAsia"/>
          <w:sz w:val="28"/>
          <w:szCs w:val="24"/>
        </w:rPr>
        <w:t>架构</w:t>
      </w:r>
      <w:r w:rsidR="008C7C3A" w:rsidRPr="00544EC3">
        <w:rPr>
          <w:rFonts w:ascii="仿宋" w:eastAsia="仿宋" w:hAnsi="仿宋" w:hint="eastAsia"/>
          <w:sz w:val="28"/>
          <w:szCs w:val="24"/>
        </w:rPr>
        <w:t>，</w:t>
      </w:r>
      <w:r w:rsidR="002B7FEB">
        <w:rPr>
          <w:rFonts w:ascii="仿宋" w:eastAsia="仿宋" w:hAnsi="仿宋" w:hint="eastAsia"/>
          <w:sz w:val="28"/>
          <w:szCs w:val="24"/>
        </w:rPr>
        <w:t>性能是麒麟920的A15架构</w:t>
      </w:r>
      <w:r w:rsidR="002B7FEB" w:rsidRPr="002B7FEB">
        <w:rPr>
          <w:rFonts w:ascii="仿宋" w:eastAsia="仿宋" w:hAnsi="仿宋"/>
          <w:sz w:val="28"/>
          <w:szCs w:val="24"/>
        </w:rPr>
        <w:t>的3.5倍，功耗则降低了75%</w:t>
      </w:r>
      <w:r w:rsidR="00654962" w:rsidRPr="00544EC3">
        <w:rPr>
          <w:rFonts w:ascii="仿宋" w:eastAsia="仿宋" w:hAnsi="仿宋" w:hint="eastAsia"/>
          <w:sz w:val="28"/>
          <w:szCs w:val="24"/>
        </w:rPr>
        <w:t>。</w:t>
      </w:r>
      <w:r w:rsidR="00D35F31" w:rsidRPr="00544EC3">
        <w:rPr>
          <w:rFonts w:ascii="仿宋" w:eastAsia="仿宋" w:hAnsi="仿宋" w:hint="eastAsia"/>
          <w:sz w:val="28"/>
          <w:szCs w:val="24"/>
        </w:rPr>
        <w:t>二是提升</w:t>
      </w:r>
      <w:r w:rsidR="00681C0D" w:rsidRPr="00544EC3">
        <w:rPr>
          <w:rFonts w:ascii="仿宋" w:eastAsia="仿宋" w:hAnsi="仿宋" w:hint="eastAsia"/>
          <w:sz w:val="28"/>
          <w:szCs w:val="24"/>
        </w:rPr>
        <w:t>工艺</w:t>
      </w:r>
      <w:r w:rsidR="000A6569" w:rsidRPr="00544EC3">
        <w:rPr>
          <w:rFonts w:ascii="仿宋" w:eastAsia="仿宋" w:hAnsi="仿宋" w:hint="eastAsia"/>
          <w:sz w:val="28"/>
          <w:szCs w:val="24"/>
        </w:rPr>
        <w:t>。工艺升级可显著提升性能功耗比，例如</w:t>
      </w:r>
      <w:r w:rsidR="001149C8" w:rsidRPr="00544EC3">
        <w:rPr>
          <w:rFonts w:ascii="仿宋" w:eastAsia="仿宋" w:hAnsi="仿宋"/>
          <w:sz w:val="28"/>
          <w:szCs w:val="24"/>
        </w:rPr>
        <w:t>台积电16nm FFC工艺</w:t>
      </w:r>
      <w:r w:rsidR="001A0C15" w:rsidRPr="00544EC3">
        <w:rPr>
          <w:rFonts w:ascii="仿宋" w:eastAsia="仿宋" w:hAnsi="仿宋"/>
          <w:sz w:val="28"/>
          <w:szCs w:val="24"/>
        </w:rPr>
        <w:t>相比20nm工艺</w:t>
      </w:r>
      <w:r w:rsidR="001149C8" w:rsidRPr="00544EC3">
        <w:rPr>
          <w:rFonts w:ascii="仿宋" w:eastAsia="仿宋" w:hAnsi="仿宋"/>
          <w:sz w:val="28"/>
          <w:szCs w:val="24"/>
        </w:rPr>
        <w:t>性能可提升最多40％，同频下功耗则能下降最多15％</w:t>
      </w:r>
      <w:r w:rsidR="00544EC3" w:rsidRPr="00544EC3">
        <w:rPr>
          <w:rFonts w:ascii="仿宋" w:eastAsia="仿宋" w:hAnsi="仿宋" w:hint="eastAsia"/>
          <w:sz w:val="28"/>
          <w:szCs w:val="24"/>
        </w:rPr>
        <w:t>。</w:t>
      </w:r>
    </w:p>
    <w:p w:rsidR="00722A01" w:rsidRPr="00B34334" w:rsidRDefault="00FB2C7D">
      <w:pPr>
        <w:rPr>
          <w:rFonts w:ascii="仿宋" w:eastAsia="仿宋" w:hAnsi="仿宋"/>
          <w:b/>
          <w:sz w:val="28"/>
          <w:szCs w:val="24"/>
        </w:rPr>
      </w:pPr>
      <w:r w:rsidRPr="00B34334">
        <w:rPr>
          <w:rFonts w:ascii="仿宋" w:eastAsia="仿宋" w:hAnsi="仿宋" w:hint="eastAsia"/>
          <w:b/>
          <w:sz w:val="28"/>
          <w:szCs w:val="24"/>
        </w:rPr>
        <w:t>四</w:t>
      </w:r>
      <w:r w:rsidR="00992C6B">
        <w:rPr>
          <w:rFonts w:ascii="仿宋" w:eastAsia="仿宋" w:hAnsi="仿宋" w:hint="eastAsia"/>
          <w:b/>
          <w:sz w:val="28"/>
          <w:szCs w:val="24"/>
        </w:rPr>
        <w:t>、全</w:t>
      </w:r>
      <w:r w:rsidR="00722A01" w:rsidRPr="00B34334">
        <w:rPr>
          <w:rFonts w:ascii="仿宋" w:eastAsia="仿宋" w:hAnsi="仿宋" w:hint="eastAsia"/>
          <w:b/>
          <w:sz w:val="28"/>
          <w:szCs w:val="24"/>
        </w:rPr>
        <w:t>模芯片</w:t>
      </w:r>
      <w:r w:rsidR="002055B1">
        <w:rPr>
          <w:rFonts w:ascii="仿宋" w:eastAsia="仿宋" w:hAnsi="仿宋" w:hint="eastAsia"/>
          <w:b/>
          <w:sz w:val="28"/>
          <w:szCs w:val="24"/>
        </w:rPr>
        <w:t xml:space="preserve">打破垄断格局 </w:t>
      </w:r>
      <w:r w:rsidR="00237A5C">
        <w:rPr>
          <w:rFonts w:ascii="仿宋" w:eastAsia="仿宋" w:hAnsi="仿宋" w:hint="eastAsia"/>
          <w:b/>
          <w:sz w:val="28"/>
          <w:szCs w:val="24"/>
        </w:rPr>
        <w:t>推动全模手机价位下降</w:t>
      </w:r>
    </w:p>
    <w:p w:rsidR="006169C3" w:rsidRPr="00B34334" w:rsidRDefault="001547A2" w:rsidP="00B34334">
      <w:pPr>
        <w:ind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2015年</w:t>
      </w:r>
      <w:r w:rsidR="000C31E5">
        <w:rPr>
          <w:rFonts w:ascii="仿宋" w:eastAsia="仿宋" w:hAnsi="仿宋" w:hint="eastAsia"/>
          <w:sz w:val="28"/>
          <w:szCs w:val="24"/>
        </w:rPr>
        <w:t>，国内市场</w:t>
      </w:r>
      <w:r w:rsidR="00184E03" w:rsidRPr="00B34334">
        <w:rPr>
          <w:rFonts w:ascii="仿宋" w:eastAsia="仿宋" w:hAnsi="仿宋" w:hint="eastAsia"/>
          <w:sz w:val="28"/>
          <w:szCs w:val="24"/>
        </w:rPr>
        <w:t>全</w:t>
      </w:r>
      <w:r w:rsidR="00886764" w:rsidRPr="00B34334">
        <w:rPr>
          <w:rFonts w:ascii="仿宋" w:eastAsia="仿宋" w:hAnsi="仿宋" w:hint="eastAsia"/>
          <w:sz w:val="28"/>
          <w:szCs w:val="24"/>
        </w:rPr>
        <w:t>模手机</w:t>
      </w:r>
      <w:r w:rsidR="00184E03" w:rsidRPr="00B34334">
        <w:rPr>
          <w:rFonts w:ascii="仿宋" w:eastAsia="仿宋" w:hAnsi="仿宋" w:hint="eastAsia"/>
          <w:sz w:val="28"/>
          <w:szCs w:val="24"/>
        </w:rPr>
        <w:t>由高端向低端转移趋势明显。</w:t>
      </w:r>
      <w:r w:rsidR="00752077" w:rsidRPr="00B34334">
        <w:rPr>
          <w:rFonts w:ascii="仿宋" w:eastAsia="仿宋" w:hAnsi="仿宋" w:hint="eastAsia"/>
          <w:sz w:val="28"/>
          <w:szCs w:val="24"/>
        </w:rPr>
        <w:t>4000元以上</w:t>
      </w:r>
      <w:r w:rsidR="00A37B92">
        <w:rPr>
          <w:rFonts w:ascii="仿宋" w:eastAsia="仿宋" w:hAnsi="仿宋" w:hint="eastAsia"/>
          <w:sz w:val="28"/>
          <w:szCs w:val="24"/>
        </w:rPr>
        <w:t>高端手机仍占主流，但比例快速</w:t>
      </w:r>
      <w:r w:rsidR="001D4BD7" w:rsidRPr="00B34334">
        <w:rPr>
          <w:rFonts w:ascii="仿宋" w:eastAsia="仿宋" w:hAnsi="仿宋" w:hint="eastAsia"/>
          <w:sz w:val="28"/>
          <w:szCs w:val="24"/>
        </w:rPr>
        <w:t>下降</w:t>
      </w:r>
      <w:r w:rsidR="00886764" w:rsidRPr="00B34334">
        <w:rPr>
          <w:rFonts w:ascii="仿宋" w:eastAsia="仿宋" w:hAnsi="仿宋" w:hint="eastAsia"/>
          <w:sz w:val="28"/>
          <w:szCs w:val="24"/>
        </w:rPr>
        <w:t>，</w:t>
      </w:r>
      <w:r w:rsidR="00263085" w:rsidRPr="00B34334">
        <w:rPr>
          <w:rFonts w:ascii="仿宋" w:eastAsia="仿宋" w:hAnsi="仿宋" w:hint="eastAsia"/>
          <w:sz w:val="28"/>
          <w:szCs w:val="24"/>
        </w:rPr>
        <w:t>从201</w:t>
      </w:r>
      <w:r w:rsidR="008D47A8">
        <w:rPr>
          <w:rFonts w:ascii="仿宋" w:eastAsia="仿宋" w:hAnsi="仿宋" w:hint="eastAsia"/>
          <w:sz w:val="28"/>
          <w:szCs w:val="24"/>
        </w:rPr>
        <w:t>4年底</w:t>
      </w:r>
      <w:r w:rsidR="006E5ED1" w:rsidRPr="00B34334">
        <w:rPr>
          <w:rFonts w:ascii="仿宋" w:eastAsia="仿宋" w:hAnsi="仿宋" w:hint="eastAsia"/>
          <w:sz w:val="28"/>
          <w:szCs w:val="24"/>
        </w:rPr>
        <w:t>的94%降至2015年底的</w:t>
      </w:r>
      <w:r w:rsidR="00752077" w:rsidRPr="00B34334">
        <w:rPr>
          <w:rFonts w:ascii="仿宋" w:eastAsia="仿宋" w:hAnsi="仿宋" w:hint="eastAsia"/>
          <w:sz w:val="28"/>
          <w:szCs w:val="24"/>
        </w:rPr>
        <w:t>53%。</w:t>
      </w:r>
      <w:r w:rsidR="00886764" w:rsidRPr="00B34334">
        <w:rPr>
          <w:rFonts w:ascii="仿宋" w:eastAsia="仿宋" w:hAnsi="仿宋" w:hint="eastAsia"/>
          <w:sz w:val="28"/>
          <w:szCs w:val="24"/>
        </w:rPr>
        <w:t>而2000元以下全模手机比例</w:t>
      </w:r>
      <w:r w:rsidR="00184E03" w:rsidRPr="00B34334">
        <w:rPr>
          <w:rFonts w:ascii="仿宋" w:eastAsia="仿宋" w:hAnsi="仿宋" w:hint="eastAsia"/>
          <w:sz w:val="28"/>
          <w:szCs w:val="24"/>
        </w:rPr>
        <w:t>则从</w:t>
      </w:r>
      <w:r w:rsidR="00302BD9" w:rsidRPr="00B34334">
        <w:rPr>
          <w:rFonts w:ascii="仿宋" w:eastAsia="仿宋" w:hAnsi="仿宋" w:hint="eastAsia"/>
          <w:sz w:val="28"/>
          <w:szCs w:val="24"/>
        </w:rPr>
        <w:t>在201</w:t>
      </w:r>
      <w:r w:rsidR="008D47A8">
        <w:rPr>
          <w:rFonts w:ascii="仿宋" w:eastAsia="仿宋" w:hAnsi="仿宋" w:hint="eastAsia"/>
          <w:sz w:val="28"/>
          <w:szCs w:val="24"/>
        </w:rPr>
        <w:t>4</w:t>
      </w:r>
      <w:r w:rsidR="00302BD9" w:rsidRPr="00B34334">
        <w:rPr>
          <w:rFonts w:ascii="仿宋" w:eastAsia="仿宋" w:hAnsi="仿宋" w:hint="eastAsia"/>
          <w:sz w:val="28"/>
          <w:szCs w:val="24"/>
        </w:rPr>
        <w:t>年</w:t>
      </w:r>
      <w:r w:rsidR="008D47A8">
        <w:rPr>
          <w:rFonts w:ascii="仿宋" w:eastAsia="仿宋" w:hAnsi="仿宋" w:hint="eastAsia"/>
          <w:sz w:val="28"/>
          <w:szCs w:val="24"/>
        </w:rPr>
        <w:t>底0.3%</w:t>
      </w:r>
      <w:r w:rsidR="00302BD9" w:rsidRPr="00B34334">
        <w:rPr>
          <w:rFonts w:ascii="仿宋" w:eastAsia="仿宋" w:hAnsi="仿宋" w:hint="eastAsia"/>
          <w:sz w:val="28"/>
          <w:szCs w:val="24"/>
        </w:rPr>
        <w:t>增至</w:t>
      </w:r>
      <w:r w:rsidR="008D47A8">
        <w:rPr>
          <w:rFonts w:ascii="仿宋" w:eastAsia="仿宋" w:hAnsi="仿宋" w:hint="eastAsia"/>
          <w:sz w:val="28"/>
          <w:szCs w:val="24"/>
        </w:rPr>
        <w:t>2015年底的</w:t>
      </w:r>
      <w:r w:rsidR="00302BD9" w:rsidRPr="00B34334">
        <w:rPr>
          <w:rFonts w:ascii="仿宋" w:eastAsia="仿宋" w:hAnsi="仿宋" w:hint="eastAsia"/>
          <w:sz w:val="28"/>
          <w:szCs w:val="24"/>
        </w:rPr>
        <w:t>28%</w:t>
      </w:r>
      <w:r w:rsidR="002055B1">
        <w:rPr>
          <w:rFonts w:ascii="仿宋" w:eastAsia="仿宋" w:hAnsi="仿宋" w:hint="eastAsia"/>
          <w:sz w:val="28"/>
          <w:szCs w:val="24"/>
        </w:rPr>
        <w:t>，2000-4000元中档价位手机的全模手机比例</w:t>
      </w:r>
      <w:r w:rsidR="008D47A8">
        <w:rPr>
          <w:rFonts w:ascii="仿宋" w:eastAsia="仿宋" w:hAnsi="仿宋" w:hint="eastAsia"/>
          <w:sz w:val="28"/>
          <w:szCs w:val="24"/>
        </w:rPr>
        <w:t>也从2014年底的0.04%增至2015年底的19%</w:t>
      </w:r>
      <w:r w:rsidR="00302BD9" w:rsidRPr="00B34334">
        <w:rPr>
          <w:rFonts w:ascii="仿宋" w:eastAsia="仿宋" w:hAnsi="仿宋" w:hint="eastAsia"/>
          <w:sz w:val="28"/>
          <w:szCs w:val="24"/>
        </w:rPr>
        <w:t>。</w:t>
      </w:r>
    </w:p>
    <w:p w:rsidR="00160CE2" w:rsidRDefault="00D53982" w:rsidP="00160CE2">
      <w:pPr>
        <w:jc w:val="center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D0C2DB9" wp14:editId="1742F21E">
            <wp:extent cx="4572000" cy="274320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141C3" w:rsidRPr="00E25017" w:rsidRDefault="007141C3" w:rsidP="007141C3">
      <w:pPr>
        <w:spacing w:before="120"/>
        <w:jc w:val="right"/>
        <w:rPr>
          <w:rFonts w:ascii="Verdana" w:hAnsi="Verdana"/>
          <w:b/>
          <w:sz w:val="20"/>
        </w:rPr>
      </w:pPr>
      <w:r>
        <w:rPr>
          <w:rFonts w:ascii="Verdana" w:hAnsi="Verdana" w:hint="eastAsia"/>
          <w:b/>
          <w:sz w:val="20"/>
        </w:rPr>
        <w:t>数据来源</w:t>
      </w:r>
      <w:r w:rsidRPr="00463D94">
        <w:rPr>
          <w:rFonts w:ascii="Calibri" w:hAnsi="Calibri"/>
          <w:b/>
          <w:sz w:val="20"/>
        </w:rPr>
        <w:t>：</w:t>
      </w:r>
      <w:r>
        <w:rPr>
          <w:rFonts w:ascii="Calibri" w:hAnsi="Calibri" w:hint="eastAsia"/>
          <w:b/>
          <w:sz w:val="20"/>
        </w:rPr>
        <w:t>中国信息通信研究院</w:t>
      </w:r>
    </w:p>
    <w:p w:rsidR="00433D43" w:rsidRDefault="00433D43" w:rsidP="00BE0676">
      <w:pPr>
        <w:spacing w:before="120"/>
        <w:jc w:val="center"/>
        <w:rPr>
          <w:rFonts w:ascii="Verdana" w:hAnsi="Verdana"/>
          <w:b/>
          <w:sz w:val="20"/>
        </w:rPr>
      </w:pPr>
      <w:r>
        <w:rPr>
          <w:noProof/>
        </w:rPr>
        <w:drawing>
          <wp:inline distT="0" distB="0" distL="0" distR="0" wp14:anchorId="5BD25EC3" wp14:editId="308A41F9">
            <wp:extent cx="4572000" cy="27432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33D43" w:rsidRPr="00E25017" w:rsidRDefault="00433D43" w:rsidP="00433D43">
      <w:pPr>
        <w:spacing w:before="120"/>
        <w:jc w:val="right"/>
        <w:rPr>
          <w:rFonts w:ascii="Verdana" w:hAnsi="Verdana"/>
          <w:b/>
          <w:sz w:val="20"/>
        </w:rPr>
      </w:pPr>
      <w:r>
        <w:rPr>
          <w:rFonts w:ascii="Verdana" w:hAnsi="Verdana" w:hint="eastAsia"/>
          <w:b/>
          <w:sz w:val="20"/>
        </w:rPr>
        <w:t>数据来源</w:t>
      </w:r>
      <w:r w:rsidRPr="00463D94">
        <w:rPr>
          <w:rFonts w:ascii="Calibri" w:hAnsi="Calibri"/>
          <w:b/>
          <w:sz w:val="20"/>
        </w:rPr>
        <w:t>：</w:t>
      </w:r>
      <w:r>
        <w:rPr>
          <w:rFonts w:ascii="Calibri" w:hAnsi="Calibri" w:hint="eastAsia"/>
          <w:b/>
          <w:sz w:val="20"/>
        </w:rPr>
        <w:t>中国信息通信研究院</w:t>
      </w:r>
    </w:p>
    <w:p w:rsidR="00433D43" w:rsidRPr="00433D43" w:rsidRDefault="00433D43" w:rsidP="00BC2F94">
      <w:pPr>
        <w:ind w:firstLine="560"/>
        <w:rPr>
          <w:rFonts w:ascii="仿宋" w:eastAsia="仿宋" w:hAnsi="仿宋"/>
          <w:sz w:val="28"/>
          <w:szCs w:val="24"/>
        </w:rPr>
      </w:pPr>
    </w:p>
    <w:p w:rsidR="00BC2F94" w:rsidRPr="003142D1" w:rsidRDefault="00A37B92" w:rsidP="00A37B92">
      <w:pPr>
        <w:ind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芯片厂商</w:t>
      </w:r>
      <w:r w:rsidRPr="00B34334">
        <w:rPr>
          <w:rFonts w:ascii="仿宋" w:eastAsia="仿宋" w:hAnsi="仿宋" w:hint="eastAsia"/>
          <w:sz w:val="28"/>
          <w:szCs w:val="24"/>
        </w:rPr>
        <w:t>多方竞争局面的形成</w:t>
      </w:r>
      <w:r>
        <w:rPr>
          <w:rFonts w:ascii="仿宋" w:eastAsia="仿宋" w:hAnsi="仿宋" w:hint="eastAsia"/>
          <w:sz w:val="28"/>
          <w:szCs w:val="24"/>
        </w:rPr>
        <w:t>是全模手机价位下降的重要原因</w:t>
      </w:r>
      <w:r w:rsidRPr="00B34334">
        <w:rPr>
          <w:rFonts w:ascii="仿宋" w:eastAsia="仿宋" w:hAnsi="仿宋" w:hint="eastAsia"/>
          <w:sz w:val="28"/>
          <w:szCs w:val="24"/>
        </w:rPr>
        <w:t>。</w:t>
      </w:r>
      <w:r w:rsidR="00722A01" w:rsidRPr="00B34334">
        <w:rPr>
          <w:rFonts w:ascii="仿宋" w:eastAsia="仿宋" w:hAnsi="仿宋" w:hint="eastAsia"/>
          <w:sz w:val="28"/>
          <w:szCs w:val="24"/>
        </w:rPr>
        <w:t>2014年我国4G发展伊始，高通凭借专利优势垄断全模芯片，</w:t>
      </w:r>
      <w:r>
        <w:rPr>
          <w:rFonts w:ascii="仿宋" w:eastAsia="仿宋" w:hAnsi="仿宋" w:hint="eastAsia"/>
          <w:sz w:val="28"/>
          <w:szCs w:val="24"/>
        </w:rPr>
        <w:t>全模手机主要面向高端市场。之后</w:t>
      </w:r>
      <w:r w:rsidR="00722A01" w:rsidRPr="00B34334">
        <w:rPr>
          <w:rFonts w:ascii="仿宋" w:eastAsia="仿宋" w:hAnsi="仿宋" w:hint="eastAsia"/>
          <w:sz w:val="28"/>
          <w:szCs w:val="24"/>
        </w:rPr>
        <w:t>其他厂商也着重围绕多模芯片发力</w:t>
      </w:r>
      <w:r>
        <w:rPr>
          <w:rFonts w:ascii="仿宋" w:eastAsia="仿宋" w:hAnsi="仿宋" w:hint="eastAsia"/>
          <w:sz w:val="28"/>
          <w:szCs w:val="24"/>
        </w:rPr>
        <w:t>，</w:t>
      </w:r>
      <w:proofErr w:type="gramStart"/>
      <w:r>
        <w:rPr>
          <w:rFonts w:ascii="仿宋" w:eastAsia="仿宋" w:hAnsi="仿宋" w:hint="eastAsia"/>
          <w:sz w:val="28"/>
          <w:szCs w:val="24"/>
        </w:rPr>
        <w:t>联发科</w:t>
      </w:r>
      <w:r w:rsidR="00BC2F94" w:rsidRPr="003142D1">
        <w:rPr>
          <w:rFonts w:ascii="仿宋" w:eastAsia="仿宋" w:hAnsi="仿宋" w:hint="eastAsia"/>
          <w:sz w:val="28"/>
          <w:szCs w:val="24"/>
        </w:rPr>
        <w:t>在</w:t>
      </w:r>
      <w:proofErr w:type="gramEnd"/>
      <w:r w:rsidR="00BC2F94" w:rsidRPr="003142D1">
        <w:rPr>
          <w:rFonts w:ascii="仿宋" w:eastAsia="仿宋" w:hAnsi="仿宋" w:hint="eastAsia"/>
          <w:sz w:val="28"/>
          <w:szCs w:val="24"/>
        </w:rPr>
        <w:t>2014年通过与威</w:t>
      </w:r>
      <w:proofErr w:type="gramStart"/>
      <w:r w:rsidR="00BC2F94" w:rsidRPr="003142D1">
        <w:rPr>
          <w:rFonts w:ascii="仿宋" w:eastAsia="仿宋" w:hAnsi="仿宋" w:hint="eastAsia"/>
          <w:sz w:val="28"/>
          <w:szCs w:val="24"/>
        </w:rPr>
        <w:t>睿</w:t>
      </w:r>
      <w:proofErr w:type="gramEnd"/>
      <w:r w:rsidR="00BC2F94" w:rsidRPr="003142D1">
        <w:rPr>
          <w:rFonts w:ascii="仿宋" w:eastAsia="仿宋" w:hAnsi="仿宋" w:hint="eastAsia"/>
          <w:sz w:val="28"/>
          <w:szCs w:val="24"/>
        </w:rPr>
        <w:t>电通的合作，整合后者的CDMA2000技术，</w:t>
      </w:r>
      <w:r>
        <w:rPr>
          <w:rFonts w:ascii="仿宋" w:eastAsia="仿宋" w:hAnsi="仿宋" w:hint="eastAsia"/>
          <w:sz w:val="28"/>
          <w:szCs w:val="24"/>
        </w:rPr>
        <w:t>于2014年底陆续推出</w:t>
      </w:r>
      <w:r w:rsidR="00BC2F94" w:rsidRPr="003142D1">
        <w:rPr>
          <w:rFonts w:ascii="仿宋" w:eastAsia="仿宋" w:hAnsi="仿宋" w:hint="eastAsia"/>
          <w:sz w:val="28"/>
          <w:szCs w:val="24"/>
        </w:rPr>
        <w:t>多款全</w:t>
      </w:r>
      <w:r w:rsidR="00BC2F94" w:rsidRPr="003142D1">
        <w:rPr>
          <w:rFonts w:ascii="仿宋" w:eastAsia="仿宋" w:hAnsi="仿宋" w:hint="eastAsia"/>
          <w:sz w:val="28"/>
          <w:szCs w:val="24"/>
        </w:rPr>
        <w:lastRenderedPageBreak/>
        <w:t>网通平台产品。</w:t>
      </w:r>
      <w:r w:rsidR="000910B1">
        <w:rPr>
          <w:rFonts w:ascii="仿宋" w:eastAsia="仿宋" w:hAnsi="仿宋" w:hint="eastAsia"/>
          <w:sz w:val="28"/>
          <w:szCs w:val="24"/>
        </w:rPr>
        <w:t>国内</w:t>
      </w:r>
      <w:r w:rsidR="00AA55D7">
        <w:rPr>
          <w:rFonts w:ascii="仿宋" w:eastAsia="仿宋" w:hAnsi="仿宋" w:hint="eastAsia"/>
          <w:sz w:val="28"/>
          <w:szCs w:val="24"/>
        </w:rPr>
        <w:t>已有</w:t>
      </w:r>
      <w:r w:rsidR="00D765FF" w:rsidRPr="00503A19">
        <w:rPr>
          <w:rFonts w:ascii="仿宋" w:eastAsia="仿宋" w:hAnsi="仿宋" w:hint="eastAsia"/>
          <w:sz w:val="28"/>
          <w:szCs w:val="24"/>
        </w:rPr>
        <w:t>芯片企业</w:t>
      </w:r>
      <w:r w:rsidR="000910B1">
        <w:rPr>
          <w:rFonts w:ascii="仿宋" w:eastAsia="仿宋" w:hAnsi="仿宋" w:hint="eastAsia"/>
          <w:sz w:val="28"/>
          <w:szCs w:val="24"/>
        </w:rPr>
        <w:t>具备推出全模芯片产品的能力，</w:t>
      </w:r>
      <w:r w:rsidR="009D4C84" w:rsidRPr="003142D1">
        <w:rPr>
          <w:rFonts w:ascii="仿宋" w:eastAsia="仿宋" w:hAnsi="仿宋" w:hint="eastAsia"/>
          <w:sz w:val="28"/>
          <w:szCs w:val="24"/>
        </w:rPr>
        <w:t>实现机制是在GSM、TD-SCDMA、WCDMA、FDD、TDD</w:t>
      </w:r>
      <w:proofErr w:type="gramStart"/>
      <w:r w:rsidR="009D4C84" w:rsidRPr="003142D1">
        <w:rPr>
          <w:rFonts w:ascii="仿宋" w:eastAsia="仿宋" w:hAnsi="仿宋" w:hint="eastAsia"/>
          <w:sz w:val="28"/>
          <w:szCs w:val="24"/>
        </w:rPr>
        <w:t>五模芯片</w:t>
      </w:r>
      <w:proofErr w:type="gramEnd"/>
      <w:r w:rsidR="009D4C84" w:rsidRPr="003142D1">
        <w:rPr>
          <w:rFonts w:ascii="仿宋" w:eastAsia="仿宋" w:hAnsi="仿宋" w:hint="eastAsia"/>
          <w:sz w:val="28"/>
          <w:szCs w:val="24"/>
        </w:rPr>
        <w:t>的基础之上，通过外挂威</w:t>
      </w:r>
      <w:proofErr w:type="gramStart"/>
      <w:r w:rsidR="009D4C84" w:rsidRPr="003142D1">
        <w:rPr>
          <w:rFonts w:ascii="仿宋" w:eastAsia="仿宋" w:hAnsi="仿宋" w:hint="eastAsia"/>
          <w:sz w:val="28"/>
          <w:szCs w:val="24"/>
        </w:rPr>
        <w:t>睿</w:t>
      </w:r>
      <w:proofErr w:type="gramEnd"/>
      <w:r w:rsidR="009D4C84" w:rsidRPr="003142D1">
        <w:rPr>
          <w:rFonts w:ascii="仿宋" w:eastAsia="仿宋" w:hAnsi="仿宋" w:hint="eastAsia"/>
          <w:sz w:val="28"/>
          <w:szCs w:val="24"/>
        </w:rPr>
        <w:t>电通的CDMA2000基带来实现。</w:t>
      </w:r>
    </w:p>
    <w:p w:rsidR="00F277EC" w:rsidRPr="003142D1" w:rsidRDefault="00F277EC">
      <w:pPr>
        <w:ind w:firstLine="560"/>
        <w:rPr>
          <w:rFonts w:ascii="仿宋" w:eastAsia="仿宋" w:hAnsi="仿宋"/>
          <w:sz w:val="28"/>
          <w:szCs w:val="24"/>
        </w:rPr>
      </w:pPr>
    </w:p>
    <w:sectPr w:rsidR="00F277EC" w:rsidRPr="0031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71E" w:rsidRDefault="004D471E" w:rsidP="00245644">
      <w:r>
        <w:separator/>
      </w:r>
    </w:p>
  </w:endnote>
  <w:endnote w:type="continuationSeparator" w:id="0">
    <w:p w:rsidR="004D471E" w:rsidRDefault="004D471E" w:rsidP="0024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71E" w:rsidRDefault="004D471E" w:rsidP="00245644">
      <w:r>
        <w:separator/>
      </w:r>
    </w:p>
  </w:footnote>
  <w:footnote w:type="continuationSeparator" w:id="0">
    <w:p w:rsidR="004D471E" w:rsidRDefault="004D471E" w:rsidP="00245644">
      <w:r>
        <w:continuationSeparator/>
      </w:r>
    </w:p>
  </w:footnote>
  <w:footnote w:id="1">
    <w:p w:rsidR="000B662E" w:rsidRDefault="000B662E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数据来源：华为媒体发布会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F3"/>
    <w:rsid w:val="00003EA0"/>
    <w:rsid w:val="00007A81"/>
    <w:rsid w:val="000105D1"/>
    <w:rsid w:val="0002004E"/>
    <w:rsid w:val="00023F25"/>
    <w:rsid w:val="000256D8"/>
    <w:rsid w:val="00036729"/>
    <w:rsid w:val="000515B3"/>
    <w:rsid w:val="000515F2"/>
    <w:rsid w:val="00052FFC"/>
    <w:rsid w:val="00056432"/>
    <w:rsid w:val="00056AEA"/>
    <w:rsid w:val="00061922"/>
    <w:rsid w:val="00073A13"/>
    <w:rsid w:val="00077FFB"/>
    <w:rsid w:val="00087A0F"/>
    <w:rsid w:val="000910B1"/>
    <w:rsid w:val="00092891"/>
    <w:rsid w:val="00093F5B"/>
    <w:rsid w:val="000A4399"/>
    <w:rsid w:val="000A6569"/>
    <w:rsid w:val="000A709C"/>
    <w:rsid w:val="000B23D1"/>
    <w:rsid w:val="000B439C"/>
    <w:rsid w:val="000B4449"/>
    <w:rsid w:val="000B589B"/>
    <w:rsid w:val="000B662E"/>
    <w:rsid w:val="000C0414"/>
    <w:rsid w:val="000C31E5"/>
    <w:rsid w:val="000D1C00"/>
    <w:rsid w:val="000E1970"/>
    <w:rsid w:val="000E4B9D"/>
    <w:rsid w:val="000E5DC2"/>
    <w:rsid w:val="000F0239"/>
    <w:rsid w:val="000F45A1"/>
    <w:rsid w:val="000F58D4"/>
    <w:rsid w:val="00100A92"/>
    <w:rsid w:val="001142A2"/>
    <w:rsid w:val="001149C8"/>
    <w:rsid w:val="001179A2"/>
    <w:rsid w:val="00117A4E"/>
    <w:rsid w:val="00121006"/>
    <w:rsid w:val="0012113A"/>
    <w:rsid w:val="00121FD2"/>
    <w:rsid w:val="00122746"/>
    <w:rsid w:val="00130D2F"/>
    <w:rsid w:val="00133671"/>
    <w:rsid w:val="0013455F"/>
    <w:rsid w:val="001364D7"/>
    <w:rsid w:val="00136BFF"/>
    <w:rsid w:val="001418D8"/>
    <w:rsid w:val="0014257A"/>
    <w:rsid w:val="0014382E"/>
    <w:rsid w:val="001453F5"/>
    <w:rsid w:val="00146679"/>
    <w:rsid w:val="0015435A"/>
    <w:rsid w:val="001547A2"/>
    <w:rsid w:val="001557FF"/>
    <w:rsid w:val="00160CE2"/>
    <w:rsid w:val="0017490C"/>
    <w:rsid w:val="00174C28"/>
    <w:rsid w:val="00182562"/>
    <w:rsid w:val="0018412E"/>
    <w:rsid w:val="00184E03"/>
    <w:rsid w:val="00186D62"/>
    <w:rsid w:val="00187F48"/>
    <w:rsid w:val="001912CD"/>
    <w:rsid w:val="00192172"/>
    <w:rsid w:val="00197DC4"/>
    <w:rsid w:val="001A0C15"/>
    <w:rsid w:val="001A2FE8"/>
    <w:rsid w:val="001A64B4"/>
    <w:rsid w:val="001A6EF8"/>
    <w:rsid w:val="001B480C"/>
    <w:rsid w:val="001C56F5"/>
    <w:rsid w:val="001D15E0"/>
    <w:rsid w:val="001D4BD7"/>
    <w:rsid w:val="001F27F3"/>
    <w:rsid w:val="001F4BF2"/>
    <w:rsid w:val="001F5C54"/>
    <w:rsid w:val="001F76E6"/>
    <w:rsid w:val="002055B1"/>
    <w:rsid w:val="00205632"/>
    <w:rsid w:val="002075FC"/>
    <w:rsid w:val="00212BC7"/>
    <w:rsid w:val="0021360C"/>
    <w:rsid w:val="00213B79"/>
    <w:rsid w:val="00216088"/>
    <w:rsid w:val="002223D4"/>
    <w:rsid w:val="0022319B"/>
    <w:rsid w:val="00226320"/>
    <w:rsid w:val="00232314"/>
    <w:rsid w:val="0023309D"/>
    <w:rsid w:val="00237A5C"/>
    <w:rsid w:val="00245082"/>
    <w:rsid w:val="00245644"/>
    <w:rsid w:val="0024771C"/>
    <w:rsid w:val="00250C83"/>
    <w:rsid w:val="0025133B"/>
    <w:rsid w:val="002544A0"/>
    <w:rsid w:val="002611C6"/>
    <w:rsid w:val="00263085"/>
    <w:rsid w:val="00280E60"/>
    <w:rsid w:val="002939CA"/>
    <w:rsid w:val="002A25A6"/>
    <w:rsid w:val="002A471D"/>
    <w:rsid w:val="002B17EB"/>
    <w:rsid w:val="002B7FEB"/>
    <w:rsid w:val="002C08EF"/>
    <w:rsid w:val="002C3E3D"/>
    <w:rsid w:val="002C4697"/>
    <w:rsid w:val="002C66F0"/>
    <w:rsid w:val="002D050A"/>
    <w:rsid w:val="002D18B7"/>
    <w:rsid w:val="002E0A03"/>
    <w:rsid w:val="002F0469"/>
    <w:rsid w:val="002F52BF"/>
    <w:rsid w:val="00302BD9"/>
    <w:rsid w:val="00304F54"/>
    <w:rsid w:val="0030562F"/>
    <w:rsid w:val="003142D1"/>
    <w:rsid w:val="00323F2F"/>
    <w:rsid w:val="00324068"/>
    <w:rsid w:val="00324D70"/>
    <w:rsid w:val="003345F1"/>
    <w:rsid w:val="003429FE"/>
    <w:rsid w:val="00342AE3"/>
    <w:rsid w:val="00350653"/>
    <w:rsid w:val="00352BFD"/>
    <w:rsid w:val="0035471B"/>
    <w:rsid w:val="00365111"/>
    <w:rsid w:val="0037181B"/>
    <w:rsid w:val="0037311F"/>
    <w:rsid w:val="00376A6B"/>
    <w:rsid w:val="003774BD"/>
    <w:rsid w:val="00381BD6"/>
    <w:rsid w:val="003968D8"/>
    <w:rsid w:val="003A6577"/>
    <w:rsid w:val="003B3D48"/>
    <w:rsid w:val="003B4023"/>
    <w:rsid w:val="003B6E77"/>
    <w:rsid w:val="003B7337"/>
    <w:rsid w:val="003C4484"/>
    <w:rsid w:val="003C6537"/>
    <w:rsid w:val="003C6A91"/>
    <w:rsid w:val="003E1389"/>
    <w:rsid w:val="003E5C84"/>
    <w:rsid w:val="003F5717"/>
    <w:rsid w:val="003F5936"/>
    <w:rsid w:val="00403355"/>
    <w:rsid w:val="00403D6B"/>
    <w:rsid w:val="00414F18"/>
    <w:rsid w:val="00421192"/>
    <w:rsid w:val="004240D2"/>
    <w:rsid w:val="00426968"/>
    <w:rsid w:val="00433D43"/>
    <w:rsid w:val="00433DCB"/>
    <w:rsid w:val="004342C4"/>
    <w:rsid w:val="00441148"/>
    <w:rsid w:val="00455E54"/>
    <w:rsid w:val="0045758D"/>
    <w:rsid w:val="004613AC"/>
    <w:rsid w:val="0046217C"/>
    <w:rsid w:val="00462E1F"/>
    <w:rsid w:val="00464178"/>
    <w:rsid w:val="00464571"/>
    <w:rsid w:val="00470FCA"/>
    <w:rsid w:val="00491D3A"/>
    <w:rsid w:val="004920EF"/>
    <w:rsid w:val="00492475"/>
    <w:rsid w:val="004A4B7A"/>
    <w:rsid w:val="004B4A51"/>
    <w:rsid w:val="004B5999"/>
    <w:rsid w:val="004C4514"/>
    <w:rsid w:val="004C7637"/>
    <w:rsid w:val="004D114E"/>
    <w:rsid w:val="004D3BAE"/>
    <w:rsid w:val="004D471E"/>
    <w:rsid w:val="004D5F28"/>
    <w:rsid w:val="004D77CB"/>
    <w:rsid w:val="004E3A41"/>
    <w:rsid w:val="004F1036"/>
    <w:rsid w:val="0050146B"/>
    <w:rsid w:val="00503A19"/>
    <w:rsid w:val="0050658B"/>
    <w:rsid w:val="00507AF3"/>
    <w:rsid w:val="00511C28"/>
    <w:rsid w:val="005159CF"/>
    <w:rsid w:val="00517A12"/>
    <w:rsid w:val="00523C12"/>
    <w:rsid w:val="00533055"/>
    <w:rsid w:val="0053560C"/>
    <w:rsid w:val="00543477"/>
    <w:rsid w:val="00544EC3"/>
    <w:rsid w:val="0055187F"/>
    <w:rsid w:val="005648D8"/>
    <w:rsid w:val="00564D9E"/>
    <w:rsid w:val="00565A2A"/>
    <w:rsid w:val="0056705C"/>
    <w:rsid w:val="00572A98"/>
    <w:rsid w:val="00573B2E"/>
    <w:rsid w:val="00582B06"/>
    <w:rsid w:val="005860EE"/>
    <w:rsid w:val="00586A27"/>
    <w:rsid w:val="005A6839"/>
    <w:rsid w:val="005A6B15"/>
    <w:rsid w:val="005D0D03"/>
    <w:rsid w:val="005D3FEC"/>
    <w:rsid w:val="005E2A61"/>
    <w:rsid w:val="005E348C"/>
    <w:rsid w:val="005E5507"/>
    <w:rsid w:val="005E6D80"/>
    <w:rsid w:val="005E7B9C"/>
    <w:rsid w:val="005F421B"/>
    <w:rsid w:val="00604918"/>
    <w:rsid w:val="0061673C"/>
    <w:rsid w:val="006169C3"/>
    <w:rsid w:val="006177A8"/>
    <w:rsid w:val="00640D0E"/>
    <w:rsid w:val="00652116"/>
    <w:rsid w:val="00654962"/>
    <w:rsid w:val="00666C86"/>
    <w:rsid w:val="006775AD"/>
    <w:rsid w:val="00681108"/>
    <w:rsid w:val="00681C0D"/>
    <w:rsid w:val="0069610A"/>
    <w:rsid w:val="00697FCD"/>
    <w:rsid w:val="006C5540"/>
    <w:rsid w:val="006C761F"/>
    <w:rsid w:val="006C7778"/>
    <w:rsid w:val="006D00E7"/>
    <w:rsid w:val="006E4C18"/>
    <w:rsid w:val="006E5ED1"/>
    <w:rsid w:val="006F3B62"/>
    <w:rsid w:val="006F4023"/>
    <w:rsid w:val="006F7924"/>
    <w:rsid w:val="00710656"/>
    <w:rsid w:val="0071206E"/>
    <w:rsid w:val="007127EB"/>
    <w:rsid w:val="007141C3"/>
    <w:rsid w:val="00716A8A"/>
    <w:rsid w:val="007215C3"/>
    <w:rsid w:val="00721DEC"/>
    <w:rsid w:val="00722A01"/>
    <w:rsid w:val="007237F2"/>
    <w:rsid w:val="007310B5"/>
    <w:rsid w:val="00733460"/>
    <w:rsid w:val="00745363"/>
    <w:rsid w:val="00746122"/>
    <w:rsid w:val="007463B0"/>
    <w:rsid w:val="00751EFB"/>
    <w:rsid w:val="00752077"/>
    <w:rsid w:val="0077506F"/>
    <w:rsid w:val="0077680D"/>
    <w:rsid w:val="007809BE"/>
    <w:rsid w:val="00781801"/>
    <w:rsid w:val="0078273D"/>
    <w:rsid w:val="00783A62"/>
    <w:rsid w:val="00783C78"/>
    <w:rsid w:val="007B0AED"/>
    <w:rsid w:val="007B0FEB"/>
    <w:rsid w:val="007C2954"/>
    <w:rsid w:val="007D52D1"/>
    <w:rsid w:val="007D5BBB"/>
    <w:rsid w:val="007D695A"/>
    <w:rsid w:val="007D7A7B"/>
    <w:rsid w:val="007F0D33"/>
    <w:rsid w:val="007F6963"/>
    <w:rsid w:val="007F6FA5"/>
    <w:rsid w:val="00800A16"/>
    <w:rsid w:val="00801FC5"/>
    <w:rsid w:val="00811F35"/>
    <w:rsid w:val="0081735B"/>
    <w:rsid w:val="00817989"/>
    <w:rsid w:val="0082003D"/>
    <w:rsid w:val="00821114"/>
    <w:rsid w:val="00823B3C"/>
    <w:rsid w:val="00823F2D"/>
    <w:rsid w:val="00825338"/>
    <w:rsid w:val="008259B3"/>
    <w:rsid w:val="00830CE5"/>
    <w:rsid w:val="00831B32"/>
    <w:rsid w:val="00834238"/>
    <w:rsid w:val="00851C49"/>
    <w:rsid w:val="008528C3"/>
    <w:rsid w:val="00853D4D"/>
    <w:rsid w:val="00870228"/>
    <w:rsid w:val="008730FB"/>
    <w:rsid w:val="0087706C"/>
    <w:rsid w:val="0088353D"/>
    <w:rsid w:val="00884382"/>
    <w:rsid w:val="00885F18"/>
    <w:rsid w:val="00886764"/>
    <w:rsid w:val="0089583D"/>
    <w:rsid w:val="00896109"/>
    <w:rsid w:val="0089680C"/>
    <w:rsid w:val="00897843"/>
    <w:rsid w:val="008A2B93"/>
    <w:rsid w:val="008A3383"/>
    <w:rsid w:val="008A494B"/>
    <w:rsid w:val="008B229C"/>
    <w:rsid w:val="008C0963"/>
    <w:rsid w:val="008C2F87"/>
    <w:rsid w:val="008C347C"/>
    <w:rsid w:val="008C38F8"/>
    <w:rsid w:val="008C408F"/>
    <w:rsid w:val="008C50CE"/>
    <w:rsid w:val="008C7C3A"/>
    <w:rsid w:val="008D2B4A"/>
    <w:rsid w:val="008D3382"/>
    <w:rsid w:val="008D47A8"/>
    <w:rsid w:val="008D5948"/>
    <w:rsid w:val="008E3EFB"/>
    <w:rsid w:val="009000CB"/>
    <w:rsid w:val="00905EDE"/>
    <w:rsid w:val="00910562"/>
    <w:rsid w:val="00913016"/>
    <w:rsid w:val="00921448"/>
    <w:rsid w:val="00923D5C"/>
    <w:rsid w:val="00937FAF"/>
    <w:rsid w:val="0094607F"/>
    <w:rsid w:val="00946179"/>
    <w:rsid w:val="00946924"/>
    <w:rsid w:val="00956827"/>
    <w:rsid w:val="00965F17"/>
    <w:rsid w:val="00967659"/>
    <w:rsid w:val="00967EF0"/>
    <w:rsid w:val="00970853"/>
    <w:rsid w:val="009723B7"/>
    <w:rsid w:val="009777EA"/>
    <w:rsid w:val="00981100"/>
    <w:rsid w:val="0098247B"/>
    <w:rsid w:val="009929FD"/>
    <w:rsid w:val="00992A65"/>
    <w:rsid w:val="00992C6B"/>
    <w:rsid w:val="009953F1"/>
    <w:rsid w:val="00995DF9"/>
    <w:rsid w:val="00996443"/>
    <w:rsid w:val="009A01BC"/>
    <w:rsid w:val="009B1C67"/>
    <w:rsid w:val="009B4A18"/>
    <w:rsid w:val="009D0417"/>
    <w:rsid w:val="009D4C84"/>
    <w:rsid w:val="009E083D"/>
    <w:rsid w:val="009E0FF3"/>
    <w:rsid w:val="009E1B78"/>
    <w:rsid w:val="009E2312"/>
    <w:rsid w:val="009E2F13"/>
    <w:rsid w:val="009F4AC3"/>
    <w:rsid w:val="009F59A3"/>
    <w:rsid w:val="00A10435"/>
    <w:rsid w:val="00A16C2D"/>
    <w:rsid w:val="00A17494"/>
    <w:rsid w:val="00A17B6C"/>
    <w:rsid w:val="00A235C1"/>
    <w:rsid w:val="00A23AEE"/>
    <w:rsid w:val="00A341AD"/>
    <w:rsid w:val="00A36E09"/>
    <w:rsid w:val="00A37B92"/>
    <w:rsid w:val="00A54F59"/>
    <w:rsid w:val="00A6022B"/>
    <w:rsid w:val="00A61D30"/>
    <w:rsid w:val="00A62C71"/>
    <w:rsid w:val="00A65D0F"/>
    <w:rsid w:val="00A729D5"/>
    <w:rsid w:val="00A76392"/>
    <w:rsid w:val="00A76A0C"/>
    <w:rsid w:val="00A8003D"/>
    <w:rsid w:val="00A866A7"/>
    <w:rsid w:val="00AA1454"/>
    <w:rsid w:val="00AA55D7"/>
    <w:rsid w:val="00AB7AF6"/>
    <w:rsid w:val="00AC679F"/>
    <w:rsid w:val="00AE4C0B"/>
    <w:rsid w:val="00AE74C2"/>
    <w:rsid w:val="00AE7F24"/>
    <w:rsid w:val="00AF660F"/>
    <w:rsid w:val="00B02935"/>
    <w:rsid w:val="00B11854"/>
    <w:rsid w:val="00B144B4"/>
    <w:rsid w:val="00B162FE"/>
    <w:rsid w:val="00B175E9"/>
    <w:rsid w:val="00B20E26"/>
    <w:rsid w:val="00B320DD"/>
    <w:rsid w:val="00B34334"/>
    <w:rsid w:val="00B34E0D"/>
    <w:rsid w:val="00B45F73"/>
    <w:rsid w:val="00B50DAD"/>
    <w:rsid w:val="00B55833"/>
    <w:rsid w:val="00B63A7A"/>
    <w:rsid w:val="00B711AE"/>
    <w:rsid w:val="00B73438"/>
    <w:rsid w:val="00B74DEA"/>
    <w:rsid w:val="00B963D7"/>
    <w:rsid w:val="00B9687D"/>
    <w:rsid w:val="00BA3EC1"/>
    <w:rsid w:val="00BB378A"/>
    <w:rsid w:val="00BB3973"/>
    <w:rsid w:val="00BB429F"/>
    <w:rsid w:val="00BB632D"/>
    <w:rsid w:val="00BC0B1E"/>
    <w:rsid w:val="00BC2F94"/>
    <w:rsid w:val="00BC4DA8"/>
    <w:rsid w:val="00BD1614"/>
    <w:rsid w:val="00BD5343"/>
    <w:rsid w:val="00BD5B56"/>
    <w:rsid w:val="00BE0676"/>
    <w:rsid w:val="00BE6FD2"/>
    <w:rsid w:val="00BF5933"/>
    <w:rsid w:val="00C00250"/>
    <w:rsid w:val="00C104F9"/>
    <w:rsid w:val="00C12454"/>
    <w:rsid w:val="00C40310"/>
    <w:rsid w:val="00C42FF4"/>
    <w:rsid w:val="00C45ECC"/>
    <w:rsid w:val="00C50394"/>
    <w:rsid w:val="00C762F1"/>
    <w:rsid w:val="00C83956"/>
    <w:rsid w:val="00C87192"/>
    <w:rsid w:val="00C965BD"/>
    <w:rsid w:val="00CB076E"/>
    <w:rsid w:val="00CB5260"/>
    <w:rsid w:val="00CB7E9B"/>
    <w:rsid w:val="00CC7C3C"/>
    <w:rsid w:val="00CD04DD"/>
    <w:rsid w:val="00CD350B"/>
    <w:rsid w:val="00CD3995"/>
    <w:rsid w:val="00CD6A95"/>
    <w:rsid w:val="00CE42B0"/>
    <w:rsid w:val="00CF2FC7"/>
    <w:rsid w:val="00D02C30"/>
    <w:rsid w:val="00D06C7F"/>
    <w:rsid w:val="00D154EB"/>
    <w:rsid w:val="00D35F31"/>
    <w:rsid w:val="00D37C66"/>
    <w:rsid w:val="00D37E74"/>
    <w:rsid w:val="00D37F56"/>
    <w:rsid w:val="00D40A22"/>
    <w:rsid w:val="00D53982"/>
    <w:rsid w:val="00D552C3"/>
    <w:rsid w:val="00D57339"/>
    <w:rsid w:val="00D72354"/>
    <w:rsid w:val="00D72D2C"/>
    <w:rsid w:val="00D73E6B"/>
    <w:rsid w:val="00D75DDD"/>
    <w:rsid w:val="00D765FF"/>
    <w:rsid w:val="00D85F4E"/>
    <w:rsid w:val="00DB25A9"/>
    <w:rsid w:val="00DB4981"/>
    <w:rsid w:val="00DC0D93"/>
    <w:rsid w:val="00DC14A3"/>
    <w:rsid w:val="00DC3099"/>
    <w:rsid w:val="00DC6BD8"/>
    <w:rsid w:val="00DD27AB"/>
    <w:rsid w:val="00DE6D59"/>
    <w:rsid w:val="00E056BF"/>
    <w:rsid w:val="00E07C57"/>
    <w:rsid w:val="00E22749"/>
    <w:rsid w:val="00E30E03"/>
    <w:rsid w:val="00E36320"/>
    <w:rsid w:val="00E3651E"/>
    <w:rsid w:val="00E36FF1"/>
    <w:rsid w:val="00E428FD"/>
    <w:rsid w:val="00E44615"/>
    <w:rsid w:val="00E5030B"/>
    <w:rsid w:val="00E6378D"/>
    <w:rsid w:val="00E70C84"/>
    <w:rsid w:val="00E71437"/>
    <w:rsid w:val="00E846C8"/>
    <w:rsid w:val="00E93331"/>
    <w:rsid w:val="00EA4744"/>
    <w:rsid w:val="00EB378D"/>
    <w:rsid w:val="00EC139A"/>
    <w:rsid w:val="00EC1A6F"/>
    <w:rsid w:val="00EC2E60"/>
    <w:rsid w:val="00EC6FFA"/>
    <w:rsid w:val="00EC747D"/>
    <w:rsid w:val="00ED2582"/>
    <w:rsid w:val="00ED305A"/>
    <w:rsid w:val="00EE26F6"/>
    <w:rsid w:val="00EE5581"/>
    <w:rsid w:val="00EE55CC"/>
    <w:rsid w:val="00EF25A0"/>
    <w:rsid w:val="00EF4031"/>
    <w:rsid w:val="00EF6071"/>
    <w:rsid w:val="00F00760"/>
    <w:rsid w:val="00F01F52"/>
    <w:rsid w:val="00F10967"/>
    <w:rsid w:val="00F11E3D"/>
    <w:rsid w:val="00F13C63"/>
    <w:rsid w:val="00F17065"/>
    <w:rsid w:val="00F220CD"/>
    <w:rsid w:val="00F277EC"/>
    <w:rsid w:val="00F30E85"/>
    <w:rsid w:val="00F31348"/>
    <w:rsid w:val="00F3220A"/>
    <w:rsid w:val="00F34692"/>
    <w:rsid w:val="00F42AA6"/>
    <w:rsid w:val="00F42C59"/>
    <w:rsid w:val="00F605F3"/>
    <w:rsid w:val="00F622ED"/>
    <w:rsid w:val="00F63D0E"/>
    <w:rsid w:val="00F67F0E"/>
    <w:rsid w:val="00F70B5B"/>
    <w:rsid w:val="00F7650B"/>
    <w:rsid w:val="00F84623"/>
    <w:rsid w:val="00F95A71"/>
    <w:rsid w:val="00FB1240"/>
    <w:rsid w:val="00FB20D7"/>
    <w:rsid w:val="00FB2C7D"/>
    <w:rsid w:val="00FB3E3A"/>
    <w:rsid w:val="00FC6974"/>
    <w:rsid w:val="00FD28D3"/>
    <w:rsid w:val="00FE665E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62E588D-7D20-4C52-A1FF-BE2F8C3A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245644"/>
    <w:pPr>
      <w:snapToGrid w:val="0"/>
      <w:jc w:val="left"/>
    </w:pPr>
  </w:style>
  <w:style w:type="character" w:customStyle="1" w:styleId="Char">
    <w:name w:val="尾注文本 Char"/>
    <w:basedOn w:val="a0"/>
    <w:link w:val="a3"/>
    <w:uiPriority w:val="99"/>
    <w:semiHidden/>
    <w:rsid w:val="00245644"/>
  </w:style>
  <w:style w:type="character" w:styleId="a4">
    <w:name w:val="endnote reference"/>
    <w:basedOn w:val="a0"/>
    <w:uiPriority w:val="99"/>
    <w:semiHidden/>
    <w:unhideWhenUsed/>
    <w:rsid w:val="00245644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0928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995DF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95DF9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9F5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F59A3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F5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F59A3"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rsid w:val="000B662E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0B662E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0B662E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F67F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4D9E"/>
  </w:style>
  <w:style w:type="table" w:styleId="ac">
    <w:name w:val="Table Grid"/>
    <w:basedOn w:val="a1"/>
    <w:uiPriority w:val="59"/>
    <w:rsid w:val="001A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catr&#39033;&#30446;\&#25152;&#39033;&#30446;\2015&#24180;\&#26435;&#23041;&#21457;&#24067;&#19987;&#25253;\&#20840;&#29699;&#22522;&#24102;&#33455;&#29255;&#20986;&#36135;&#3732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atr&#39033;&#30446;\&#25152;&#39033;&#30446;\2015&#24180;\&#26435;&#23041;&#21457;&#24067;&#19987;&#25253;\&#20840;&#29699;&#22522;&#24102;&#33455;&#29255;&#20986;&#36135;&#37327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catr&#39033;&#30446;\&#25152;&#39033;&#30446;\2015&#24180;\&#26435;&#23041;&#21457;&#24067;&#19987;&#25253;\&#20840;&#29699;&#22522;&#24102;&#33455;&#29255;&#20986;&#36135;&#3732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atr&#39033;&#30446;\&#25152;&#39033;&#30446;\2015&#24180;\&#26435;&#23041;&#21457;&#24067;&#19987;&#25253;\&#33455;&#29255;&#38656;&#27714;-&#20004;&#21270;&#2515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atr&#39033;&#30446;\&#25152;&#39033;&#30446;\2015&#24180;\&#26435;&#23041;&#21457;&#24067;&#19987;&#25253;\&#33455;&#29255;&#38656;&#27714;-&#20004;&#21270;&#2515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atr&#39033;&#30446;\&#25152;&#39033;&#30446;\2015&#24180;\&#26435;&#23041;&#21457;&#24067;&#19987;&#25253;\&#34917;&#20805;&#25968;&#25454;&#38656;&#27714;-&#20004;&#21270;&#2515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atr&#39033;&#30446;\&#25152;&#39033;&#30446;\2015&#24180;\&#26435;&#23041;&#21457;&#24067;&#19987;&#25253;\&#33455;&#29255;&#38656;&#27714;-&#20004;&#21270;&#2515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atr&#39033;&#30446;\&#25152;&#39033;&#30446;\2015&#24180;\&#26435;&#23041;&#21457;&#24067;&#19987;&#25253;\&#34917;&#20805;&#25968;&#25454;&#38656;&#27714;-&#20004;&#21270;&#2515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en-US" altLang="zh-CN" sz="1100">
                <a:latin typeface="黑体" panose="02010609060101010101" pitchFamily="49" charset="-122"/>
                <a:ea typeface="黑体" panose="02010609060101010101" pitchFamily="49" charset="-122"/>
              </a:rPr>
              <a:t>2010-2015</a:t>
            </a:r>
            <a:r>
              <a:rPr lang="zh-CN" altLang="en-US" sz="1100">
                <a:latin typeface="黑体" panose="02010609060101010101" pitchFamily="49" charset="-122"/>
                <a:ea typeface="黑体" panose="02010609060101010101" pitchFamily="49" charset="-122"/>
              </a:rPr>
              <a:t>年全球及我国智能手机</a:t>
            </a:r>
            <a:endParaRPr lang="en-US" altLang="zh-CN" sz="1100">
              <a:latin typeface="黑体" panose="02010609060101010101" pitchFamily="49" charset="-122"/>
              <a:ea typeface="黑体" panose="02010609060101010101" pitchFamily="49" charset="-122"/>
            </a:endParaRPr>
          </a:p>
          <a:p>
            <a:pPr>
              <a:defRPr sz="11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100">
                <a:latin typeface="黑体" panose="02010609060101010101" pitchFamily="49" charset="-122"/>
                <a:ea typeface="黑体" panose="02010609060101010101" pitchFamily="49" charset="-122"/>
              </a:rPr>
              <a:t>基带芯片出货量</a:t>
            </a:r>
            <a:endParaRPr lang="zh-CN" sz="11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>
        <c:manualLayout>
          <c:xMode val="edge"/>
          <c:yMode val="edge"/>
          <c:x val="0.404567297508864"/>
          <c:y val="4.938271604938271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全球智能手机基带芯片出货量</c:v>
                </c:pt>
              </c:strCache>
            </c:strRef>
          </c:tx>
          <c:invertIfNegative val="0"/>
          <c:cat>
            <c:numRef>
              <c:f>Sheet1!$B$3:$G$3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  <c:pt idx="0">
                  <c:v>307</c:v>
                </c:pt>
                <c:pt idx="1">
                  <c:v>488</c:v>
                </c:pt>
                <c:pt idx="2">
                  <c:v>758</c:v>
                </c:pt>
                <c:pt idx="3">
                  <c:v>1035</c:v>
                </c:pt>
                <c:pt idx="4">
                  <c:v>1300</c:v>
                </c:pt>
                <c:pt idx="5">
                  <c:v>1422</c:v>
                </c:pt>
              </c:numCache>
            </c:numRef>
          </c:val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中国智能手机 基带芯片出货量</c:v>
                </c:pt>
              </c:strCache>
            </c:strRef>
          </c:tx>
          <c:invertIfNegative val="0"/>
          <c:cat>
            <c:numRef>
              <c:f>Sheet1!$B$3:$G$3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Sheet1!$B$5:$G$5</c:f>
              <c:numCache>
                <c:formatCode>General</c:formatCode>
                <c:ptCount val="6"/>
                <c:pt idx="0">
                  <c:v>12</c:v>
                </c:pt>
                <c:pt idx="1">
                  <c:v>49</c:v>
                </c:pt>
                <c:pt idx="2">
                  <c:v>183</c:v>
                </c:pt>
                <c:pt idx="3">
                  <c:v>356</c:v>
                </c:pt>
                <c:pt idx="4">
                  <c:v>513</c:v>
                </c:pt>
                <c:pt idx="5">
                  <c:v>655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743285800"/>
        <c:axId val="743286192"/>
      </c:barChart>
      <c:lineChart>
        <c:grouping val="standard"/>
        <c:varyColors val="0"/>
        <c:ser>
          <c:idx val="2"/>
          <c:order val="2"/>
          <c:tx>
            <c:strRef>
              <c:f>Sheet1!$A$8</c:f>
              <c:strCache>
                <c:ptCount val="1"/>
                <c:pt idx="0">
                  <c:v>全球智能手机基带芯片出货量增速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Sheet1!$B$3:$G$3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Sheet1!$B$8:$G$8</c:f>
              <c:numCache>
                <c:formatCode>0.0%</c:formatCode>
                <c:ptCount val="6"/>
                <c:pt idx="1">
                  <c:v>0.5895765472312704</c:v>
                </c:pt>
                <c:pt idx="2">
                  <c:v>0.55327868852459017</c:v>
                </c:pt>
                <c:pt idx="3">
                  <c:v>0.36543535620052769</c:v>
                </c:pt>
                <c:pt idx="4">
                  <c:v>0.2560386473429952</c:v>
                </c:pt>
                <c:pt idx="5">
                  <c:v>9.3846153846153843E-2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Sheet1!$A$9</c:f>
              <c:strCache>
                <c:ptCount val="1"/>
                <c:pt idx="0">
                  <c:v>中国智能手机基带芯片出货量增速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Sheet1!$B$3:$G$3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Sheet1!$B$9:$G$9</c:f>
              <c:numCache>
                <c:formatCode>0.0%</c:formatCode>
                <c:ptCount val="6"/>
                <c:pt idx="1">
                  <c:v>3.0833333333333335</c:v>
                </c:pt>
                <c:pt idx="2">
                  <c:v>2.7346938775510203</c:v>
                </c:pt>
                <c:pt idx="3">
                  <c:v>0.94535519125683065</c:v>
                </c:pt>
                <c:pt idx="4">
                  <c:v>0.4410112359550562</c:v>
                </c:pt>
                <c:pt idx="5">
                  <c:v>0.27680311890838205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3288152"/>
        <c:axId val="743294032"/>
      </c:lineChart>
      <c:catAx>
        <c:axId val="743285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43286192"/>
        <c:crosses val="autoZero"/>
        <c:auto val="1"/>
        <c:lblAlgn val="ctr"/>
        <c:lblOffset val="100"/>
        <c:noMultiLvlLbl val="0"/>
      </c:catAx>
      <c:valAx>
        <c:axId val="743286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43285800"/>
        <c:crosses val="autoZero"/>
        <c:crossBetween val="between"/>
      </c:valAx>
      <c:valAx>
        <c:axId val="743294032"/>
        <c:scaling>
          <c:orientation val="minMax"/>
        </c:scaling>
        <c:delete val="0"/>
        <c:axPos val="r"/>
        <c:numFmt formatCode="0.0%" sourceLinked="0"/>
        <c:majorTickMark val="out"/>
        <c:minorTickMark val="none"/>
        <c:tickLblPos val="nextTo"/>
        <c:crossAx val="743288152"/>
        <c:crosses val="max"/>
        <c:crossBetween val="between"/>
      </c:valAx>
      <c:catAx>
        <c:axId val="743288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4329403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700" baseline="0"/>
            </a:pPr>
            <a:endParaRPr lang="zh-CN"/>
          </a:p>
        </c:txPr>
      </c:dTable>
    </c:plotArea>
    <c:legend>
      <c:legendPos val="b"/>
      <c:layout>
        <c:manualLayout>
          <c:xMode val="edge"/>
          <c:yMode val="edge"/>
          <c:x val="3.888888888888889E-2"/>
          <c:y val="0.82948316645604481"/>
          <c:w val="0.93888888888888888"/>
          <c:h val="0.1427390557661774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zh-CN" altLang="en-US" sz="900"/>
              <a:t>我国智能手机基带芯片出货量</a:t>
            </a:r>
            <a:endParaRPr lang="en-US" altLang="zh-CN" sz="900"/>
          </a:p>
          <a:p>
            <a:pPr>
              <a:defRPr sz="900"/>
            </a:pPr>
            <a:r>
              <a:rPr lang="zh-CN" altLang="en-US" sz="900"/>
              <a:t>在全球占比</a:t>
            </a:r>
          </a:p>
        </c:rich>
      </c:tx>
      <c:layout>
        <c:manualLayout>
          <c:xMode val="edge"/>
          <c:yMode val="edge"/>
          <c:x val="0.21725091181784095"/>
          <c:y val="3.80952380952380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1310290759108"/>
          <c:y val="0.16858342707161603"/>
          <c:w val="0.80923884514435696"/>
          <c:h val="0.71688488938882644"/>
        </c:manualLayout>
      </c:layout>
      <c:lineChart>
        <c:grouping val="standard"/>
        <c:varyColors val="0"/>
        <c:ser>
          <c:idx val="0"/>
          <c:order val="0"/>
          <c:tx>
            <c:strRef>
              <c:f>Sheet1!$A$13</c:f>
              <c:strCache>
                <c:ptCount val="1"/>
                <c:pt idx="0">
                  <c:v>中国智能手机基带芯片出货量占比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6.6666666666666666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6111111111111166E-2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555555555555556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1111111111111101"/>
                  <c:y val="-6.018518518518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1666666666666563E-2"/>
                  <c:y val="-5.5555555555555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Sheet1!$B$3:$G$3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Sheet1!$B$13:$G$13</c:f>
              <c:numCache>
                <c:formatCode>0.0%</c:formatCode>
                <c:ptCount val="6"/>
                <c:pt idx="0">
                  <c:v>3.9087947882736153E-2</c:v>
                </c:pt>
                <c:pt idx="1">
                  <c:v>0.10040983606557377</c:v>
                </c:pt>
                <c:pt idx="2">
                  <c:v>0.24142480211081793</c:v>
                </c:pt>
                <c:pt idx="3">
                  <c:v>0.34396135265700484</c:v>
                </c:pt>
                <c:pt idx="4">
                  <c:v>0.39461538461538459</c:v>
                </c:pt>
                <c:pt idx="5">
                  <c:v>0.46061884669479608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43292072"/>
        <c:axId val="743295600"/>
      </c:lineChart>
      <c:catAx>
        <c:axId val="743292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43295600"/>
        <c:crosses val="autoZero"/>
        <c:auto val="1"/>
        <c:lblAlgn val="ctr"/>
        <c:lblOffset val="100"/>
        <c:noMultiLvlLbl val="0"/>
      </c:catAx>
      <c:valAx>
        <c:axId val="74329560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crossAx val="7432920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zh-CN" altLang="en-US" sz="1400"/>
              <a:t>手机芯片厂商基带芯片出货量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各公司基带芯片出货量!$B$2</c:f>
              <c:strCache>
                <c:ptCount val="1"/>
                <c:pt idx="0">
                  <c:v>高通</c:v>
                </c:pt>
              </c:strCache>
            </c:strRef>
          </c:tx>
          <c:invertIfNegative val="0"/>
          <c:cat>
            <c:strRef>
              <c:f>各公司基带芯片出货量!$A$3:$A$8</c:f>
              <c:strCache>
                <c:ptCount val="6"/>
                <c:pt idx="0">
                  <c:v>2010年</c:v>
                </c:pt>
                <c:pt idx="1">
                  <c:v>2011年</c:v>
                </c:pt>
                <c:pt idx="2">
                  <c:v>2012年</c:v>
                </c:pt>
                <c:pt idx="3">
                  <c:v>2013年</c:v>
                </c:pt>
                <c:pt idx="4">
                  <c:v>2014年</c:v>
                </c:pt>
                <c:pt idx="5">
                  <c:v>2015年</c:v>
                </c:pt>
              </c:strCache>
            </c:strRef>
          </c:cat>
          <c:val>
            <c:numRef>
              <c:f>各公司基带芯片出货量!$B$3:$B$8</c:f>
              <c:numCache>
                <c:formatCode>General</c:formatCode>
                <c:ptCount val="6"/>
                <c:pt idx="0">
                  <c:v>150</c:v>
                </c:pt>
                <c:pt idx="1">
                  <c:v>280</c:v>
                </c:pt>
                <c:pt idx="2">
                  <c:v>479</c:v>
                </c:pt>
                <c:pt idx="3">
                  <c:v>610</c:v>
                </c:pt>
                <c:pt idx="4">
                  <c:v>830</c:v>
                </c:pt>
                <c:pt idx="5">
                  <c:v>770</c:v>
                </c:pt>
              </c:numCache>
            </c:numRef>
          </c:val>
        </c:ser>
        <c:ser>
          <c:idx val="1"/>
          <c:order val="1"/>
          <c:tx>
            <c:strRef>
              <c:f>各公司基带芯片出货量!$C$2</c:f>
              <c:strCache>
                <c:ptCount val="1"/>
                <c:pt idx="0">
                  <c:v>联发科</c:v>
                </c:pt>
              </c:strCache>
            </c:strRef>
          </c:tx>
          <c:invertIfNegative val="0"/>
          <c:cat>
            <c:strRef>
              <c:f>各公司基带芯片出货量!$A$3:$A$8</c:f>
              <c:strCache>
                <c:ptCount val="6"/>
                <c:pt idx="0">
                  <c:v>2010年</c:v>
                </c:pt>
                <c:pt idx="1">
                  <c:v>2011年</c:v>
                </c:pt>
                <c:pt idx="2">
                  <c:v>2012年</c:v>
                </c:pt>
                <c:pt idx="3">
                  <c:v>2013年</c:v>
                </c:pt>
                <c:pt idx="4">
                  <c:v>2014年</c:v>
                </c:pt>
                <c:pt idx="5">
                  <c:v>2015年</c:v>
                </c:pt>
              </c:strCache>
            </c:strRef>
          </c:cat>
          <c:val>
            <c:numRef>
              <c:f>各公司基带芯片出货量!$C$3:$C$8</c:f>
              <c:numCache>
                <c:formatCode>General</c:formatCode>
                <c:ptCount val="6"/>
                <c:pt idx="0">
                  <c:v>2</c:v>
                </c:pt>
                <c:pt idx="1">
                  <c:v>13</c:v>
                </c:pt>
                <c:pt idx="2">
                  <c:v>97</c:v>
                </c:pt>
                <c:pt idx="3">
                  <c:v>219</c:v>
                </c:pt>
                <c:pt idx="4">
                  <c:v>320</c:v>
                </c:pt>
                <c:pt idx="5">
                  <c:v>380</c:v>
                </c:pt>
              </c:numCache>
            </c:numRef>
          </c:val>
        </c:ser>
        <c:ser>
          <c:idx val="2"/>
          <c:order val="2"/>
          <c:tx>
            <c:strRef>
              <c:f>各公司基带芯片出货量!$D$2</c:f>
              <c:strCache>
                <c:ptCount val="1"/>
                <c:pt idx="0">
                  <c:v>展讯</c:v>
                </c:pt>
              </c:strCache>
            </c:strRef>
          </c:tx>
          <c:invertIfNegative val="0"/>
          <c:cat>
            <c:strRef>
              <c:f>各公司基带芯片出货量!$A$3:$A$8</c:f>
              <c:strCache>
                <c:ptCount val="6"/>
                <c:pt idx="0">
                  <c:v>2010年</c:v>
                </c:pt>
                <c:pt idx="1">
                  <c:v>2011年</c:v>
                </c:pt>
                <c:pt idx="2">
                  <c:v>2012年</c:v>
                </c:pt>
                <c:pt idx="3">
                  <c:v>2013年</c:v>
                </c:pt>
                <c:pt idx="4">
                  <c:v>2014年</c:v>
                </c:pt>
                <c:pt idx="5">
                  <c:v>2015年</c:v>
                </c:pt>
              </c:strCache>
            </c:strRef>
          </c:cat>
          <c:val>
            <c:numRef>
              <c:f>各公司基带芯片出货量!$D$3:$D$8</c:f>
              <c:numCache>
                <c:formatCode>General</c:formatCode>
                <c:ptCount val="6"/>
                <c:pt idx="2">
                  <c:v>25</c:v>
                </c:pt>
                <c:pt idx="3">
                  <c:v>106</c:v>
                </c:pt>
                <c:pt idx="4">
                  <c:v>125</c:v>
                </c:pt>
                <c:pt idx="5">
                  <c:v>175</c:v>
                </c:pt>
              </c:numCache>
            </c:numRef>
          </c:val>
        </c:ser>
        <c:ser>
          <c:idx val="3"/>
          <c:order val="3"/>
          <c:tx>
            <c:strRef>
              <c:f>各公司基带芯片出货量!$E$2</c:f>
              <c:strCache>
                <c:ptCount val="1"/>
                <c:pt idx="0">
                  <c:v>海思</c:v>
                </c:pt>
              </c:strCache>
            </c:strRef>
          </c:tx>
          <c:invertIfNegative val="0"/>
          <c:cat>
            <c:strRef>
              <c:f>各公司基带芯片出货量!$A$3:$A$8</c:f>
              <c:strCache>
                <c:ptCount val="6"/>
                <c:pt idx="0">
                  <c:v>2010年</c:v>
                </c:pt>
                <c:pt idx="1">
                  <c:v>2011年</c:v>
                </c:pt>
                <c:pt idx="2">
                  <c:v>2012年</c:v>
                </c:pt>
                <c:pt idx="3">
                  <c:v>2013年</c:v>
                </c:pt>
                <c:pt idx="4">
                  <c:v>2014年</c:v>
                </c:pt>
                <c:pt idx="5">
                  <c:v>2015年</c:v>
                </c:pt>
              </c:strCache>
            </c:strRef>
          </c:cat>
          <c:val>
            <c:numRef>
              <c:f>各公司基带芯片出货量!$E$3:$E$8</c:f>
              <c:numCache>
                <c:formatCode>General</c:formatCode>
                <c:ptCount val="6"/>
                <c:pt idx="2">
                  <c:v>1.5</c:v>
                </c:pt>
                <c:pt idx="3">
                  <c:v>5</c:v>
                </c:pt>
                <c:pt idx="4">
                  <c:v>15</c:v>
                </c:pt>
                <c:pt idx="5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743296384"/>
        <c:axId val="743287368"/>
        <c:axId val="0"/>
      </c:bar3DChart>
      <c:catAx>
        <c:axId val="743296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43287368"/>
        <c:crosses val="autoZero"/>
        <c:auto val="1"/>
        <c:lblAlgn val="ctr"/>
        <c:lblOffset val="100"/>
        <c:noMultiLvlLbl val="0"/>
      </c:catAx>
      <c:valAx>
        <c:axId val="743287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74329638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zh-CN" altLang="en-US" sz="1400"/>
              <a:t>国内市场</a:t>
            </a:r>
            <a:r>
              <a:rPr lang="en-US" altLang="zh-CN" sz="1400"/>
              <a:t>4G</a:t>
            </a:r>
            <a:r>
              <a:rPr lang="zh-CN" altLang="en-US" sz="1400"/>
              <a:t>芯片发展</a:t>
            </a:r>
            <a:endParaRPr lang="en-US" altLang="zh-CN" sz="14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Sheet2!$A$25</c:f>
              <c:strCache>
                <c:ptCount val="1"/>
                <c:pt idx="0">
                  <c:v>4G芯片出货量</c:v>
                </c:pt>
              </c:strCache>
            </c:strRef>
          </c:tx>
          <c:spPr>
            <a:solidFill>
              <a:srgbClr val="FF9900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1.6666666666666666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3333333333333332E-3"/>
                  <c:y val="-2.7777777777777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1111111111111112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Sheet2!$D$21:$M$21</c:f>
              <c:strCache>
                <c:ptCount val="10"/>
                <c:pt idx="0">
                  <c:v>2013Q3</c:v>
                </c:pt>
                <c:pt idx="1">
                  <c:v>2013Q4</c:v>
                </c:pt>
                <c:pt idx="2">
                  <c:v>2014Q1</c:v>
                </c:pt>
                <c:pt idx="3">
                  <c:v>2014Q2</c:v>
                </c:pt>
                <c:pt idx="4">
                  <c:v>2014Q3</c:v>
                </c:pt>
                <c:pt idx="5">
                  <c:v>2014Q4</c:v>
                </c:pt>
                <c:pt idx="6">
                  <c:v>2015Q1</c:v>
                </c:pt>
                <c:pt idx="7">
                  <c:v>2015Q2</c:v>
                </c:pt>
                <c:pt idx="8">
                  <c:v>2015Q3</c:v>
                </c:pt>
                <c:pt idx="9">
                  <c:v>2015Q4</c:v>
                </c:pt>
              </c:strCache>
            </c:strRef>
          </c:cat>
          <c:val>
            <c:numRef>
              <c:f>Sheet2!$D$25:$M$25</c:f>
              <c:numCache>
                <c:formatCode>0.0</c:formatCode>
                <c:ptCount val="10"/>
                <c:pt idx="0">
                  <c:v>6.8028000000000004</c:v>
                </c:pt>
                <c:pt idx="1">
                  <c:v>46.313899999999997</c:v>
                </c:pt>
                <c:pt idx="2">
                  <c:v>973.59609999999998</c:v>
                </c:pt>
                <c:pt idx="3">
                  <c:v>3065.7628</c:v>
                </c:pt>
                <c:pt idx="4">
                  <c:v>4674.2417999999998</c:v>
                </c:pt>
                <c:pt idx="5">
                  <c:v>8415.6278999999995</c:v>
                </c:pt>
                <c:pt idx="6">
                  <c:v>8623.8616000000002</c:v>
                </c:pt>
                <c:pt idx="7">
                  <c:v>10837.687900000001</c:v>
                </c:pt>
                <c:pt idx="8">
                  <c:v>11638.8063</c:v>
                </c:pt>
                <c:pt idx="9">
                  <c:v>12925.789699999999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743289720"/>
        <c:axId val="743290896"/>
      </c:barChart>
      <c:lineChart>
        <c:grouping val="standard"/>
        <c:varyColors val="0"/>
        <c:ser>
          <c:idx val="0"/>
          <c:order val="0"/>
          <c:tx>
            <c:strRef>
              <c:f>Sheet2!$A$24</c:f>
              <c:strCache>
                <c:ptCount val="1"/>
                <c:pt idx="0">
                  <c:v>4G手机大陆品牌芯片比例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4444444444444446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4663167104111E-2"/>
                  <c:y val="3.703703703703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2777777777777778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7222440944881892E-2"/>
                  <c:y val="0.11574074074074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999999999999947E-2"/>
                  <c:y val="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7222222222222221E-2"/>
                  <c:y val="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444444444444446E-2"/>
                  <c:y val="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5"/>
                  <c:y val="0.101851851851851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5"/>
                  <c:y val="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5555555555555455E-2"/>
                  <c:y val="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chemeClr val="accent2">
                        <a:lumMod val="50000"/>
                      </a:schemeClr>
                    </a:solidFill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Sheet2!$D$21:$M$21</c:f>
              <c:strCache>
                <c:ptCount val="10"/>
                <c:pt idx="0">
                  <c:v>2013Q3</c:v>
                </c:pt>
                <c:pt idx="1">
                  <c:v>2013Q4</c:v>
                </c:pt>
                <c:pt idx="2">
                  <c:v>2014Q1</c:v>
                </c:pt>
                <c:pt idx="3">
                  <c:v>2014Q2</c:v>
                </c:pt>
                <c:pt idx="4">
                  <c:v>2014Q3</c:v>
                </c:pt>
                <c:pt idx="5">
                  <c:v>2014Q4</c:v>
                </c:pt>
                <c:pt idx="6">
                  <c:v>2015Q1</c:v>
                </c:pt>
                <c:pt idx="7">
                  <c:v>2015Q2</c:v>
                </c:pt>
                <c:pt idx="8">
                  <c:v>2015Q3</c:v>
                </c:pt>
                <c:pt idx="9">
                  <c:v>2015Q4</c:v>
                </c:pt>
              </c:strCache>
            </c:strRef>
          </c:cat>
          <c:val>
            <c:numRef>
              <c:f>Sheet2!$D$24:$M$24</c:f>
              <c:numCache>
                <c:formatCode>0.0%</c:formatCode>
                <c:ptCount val="10"/>
                <c:pt idx="0">
                  <c:v>0</c:v>
                </c:pt>
                <c:pt idx="1">
                  <c:v>1.6196001632339318E-2</c:v>
                </c:pt>
                <c:pt idx="2">
                  <c:v>5.3345513602967307E-3</c:v>
                </c:pt>
                <c:pt idx="3">
                  <c:v>6.9044252216772933E-2</c:v>
                </c:pt>
                <c:pt idx="4">
                  <c:v>7.1932865602563942E-2</c:v>
                </c:pt>
                <c:pt idx="5">
                  <c:v>5.1466784213056574E-2</c:v>
                </c:pt>
                <c:pt idx="6">
                  <c:v>8.2906240281689095E-2</c:v>
                </c:pt>
                <c:pt idx="7">
                  <c:v>0.1658921795751524</c:v>
                </c:pt>
                <c:pt idx="8">
                  <c:v>0.12511839592921889</c:v>
                </c:pt>
                <c:pt idx="9">
                  <c:v>0.1075154181044732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3292856"/>
        <c:axId val="743291288"/>
      </c:lineChart>
      <c:catAx>
        <c:axId val="7432897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743290896"/>
        <c:crosses val="autoZero"/>
        <c:auto val="1"/>
        <c:lblAlgn val="ctr"/>
        <c:lblOffset val="100"/>
        <c:noMultiLvlLbl val="0"/>
      </c:catAx>
      <c:valAx>
        <c:axId val="743290896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743289720"/>
        <c:crosses val="autoZero"/>
        <c:crossBetween val="between"/>
      </c:valAx>
      <c:valAx>
        <c:axId val="743291288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743292856"/>
        <c:crosses val="max"/>
        <c:crossBetween val="between"/>
      </c:valAx>
      <c:catAx>
        <c:axId val="743292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43291288"/>
        <c:crosses val="autoZero"/>
        <c:auto val="1"/>
        <c:lblAlgn val="ctr"/>
        <c:lblOffset val="100"/>
        <c:noMultiLvlLbl val="0"/>
      </c:cat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sz="1400" b="0">
                <a:latin typeface="微软雅黑" panose="020B0503020204020204" pitchFamily="34" charset="-122"/>
                <a:ea typeface="微软雅黑" panose="020B0503020204020204" pitchFamily="34" charset="-122"/>
              </a:rPr>
              <a:t>国内市场智能手机多核发展趋势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Sheet2!$A$40</c:f>
              <c:strCache>
                <c:ptCount val="1"/>
                <c:pt idx="0">
                  <c:v>双核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cat>
            <c:strRef>
              <c:f>Sheet2!$B$38:$M$38</c:f>
              <c:strCache>
                <c:ptCount val="12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</c:strCache>
            </c:strRef>
          </c:cat>
          <c:val>
            <c:numRef>
              <c:f>Sheet2!$B$40:$M$40</c:f>
              <c:numCache>
                <c:formatCode>0.0%</c:formatCode>
                <c:ptCount val="12"/>
                <c:pt idx="0">
                  <c:v>0.33047921067682484</c:v>
                </c:pt>
                <c:pt idx="1">
                  <c:v>0.32062041456031576</c:v>
                </c:pt>
                <c:pt idx="2">
                  <c:v>0.38660949908920522</c:v>
                </c:pt>
                <c:pt idx="3">
                  <c:v>0.38280668314762217</c:v>
                </c:pt>
                <c:pt idx="4">
                  <c:v>0.36269709770770281</c:v>
                </c:pt>
                <c:pt idx="5">
                  <c:v>0.21640763836077057</c:v>
                </c:pt>
                <c:pt idx="6">
                  <c:v>0.15591533932073989</c:v>
                </c:pt>
                <c:pt idx="7">
                  <c:v>0.22750112742203202</c:v>
                </c:pt>
                <c:pt idx="8">
                  <c:v>0.15849257510699238</c:v>
                </c:pt>
                <c:pt idx="9">
                  <c:v>0.15195452312244917</c:v>
                </c:pt>
                <c:pt idx="10">
                  <c:v>0.11671708947621012</c:v>
                </c:pt>
                <c:pt idx="11">
                  <c:v>0.15936630533191515</c:v>
                </c:pt>
              </c:numCache>
            </c:numRef>
          </c:val>
        </c:ser>
        <c:ser>
          <c:idx val="1"/>
          <c:order val="1"/>
          <c:tx>
            <c:strRef>
              <c:f>Sheet2!$A$41</c:f>
              <c:strCache>
                <c:ptCount val="1"/>
                <c:pt idx="0">
                  <c:v>四核</c:v>
                </c:pt>
              </c:strCache>
            </c:strRef>
          </c:tx>
          <c:spPr>
            <a:solidFill>
              <a:srgbClr val="CC3300"/>
            </a:solidFill>
          </c:spPr>
          <c:invertIfNegative val="0"/>
          <c:cat>
            <c:strRef>
              <c:f>Sheet2!$B$38:$M$38</c:f>
              <c:strCache>
                <c:ptCount val="12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</c:strCache>
            </c:strRef>
          </c:cat>
          <c:val>
            <c:numRef>
              <c:f>Sheet2!$B$41:$M$41</c:f>
              <c:numCache>
                <c:formatCode>0.0%</c:formatCode>
                <c:ptCount val="12"/>
                <c:pt idx="0">
                  <c:v>0.1454061151493454</c:v>
                </c:pt>
                <c:pt idx="1">
                  <c:v>0.22116994347564792</c:v>
                </c:pt>
                <c:pt idx="2">
                  <c:v>0.30598047624870006</c:v>
                </c:pt>
                <c:pt idx="3">
                  <c:v>0.38405127575752029</c:v>
                </c:pt>
                <c:pt idx="4">
                  <c:v>0.48649100772492171</c:v>
                </c:pt>
                <c:pt idx="5">
                  <c:v>0.62654396872637264</c:v>
                </c:pt>
                <c:pt idx="6">
                  <c:v>0.73966459838406562</c:v>
                </c:pt>
                <c:pt idx="7">
                  <c:v>0.6714927147767803</c:v>
                </c:pt>
                <c:pt idx="8">
                  <c:v>0.6219463353693605</c:v>
                </c:pt>
                <c:pt idx="9">
                  <c:v>0.59478630970756619</c:v>
                </c:pt>
                <c:pt idx="10">
                  <c:v>0.50325204388350497</c:v>
                </c:pt>
                <c:pt idx="11">
                  <c:v>0.44790438162593638</c:v>
                </c:pt>
              </c:numCache>
            </c:numRef>
          </c:val>
        </c:ser>
        <c:ser>
          <c:idx val="2"/>
          <c:order val="2"/>
          <c:tx>
            <c:strRef>
              <c:f>Sheet2!$A$42</c:f>
              <c:strCache>
                <c:ptCount val="1"/>
                <c:pt idx="0">
                  <c:v>六核</c:v>
                </c:pt>
              </c:strCache>
            </c:strRef>
          </c:tx>
          <c:invertIfNegative val="0"/>
          <c:cat>
            <c:strRef>
              <c:f>Sheet2!$B$38:$M$38</c:f>
              <c:strCache>
                <c:ptCount val="12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</c:strCache>
            </c:strRef>
          </c:cat>
          <c:val>
            <c:numRef>
              <c:f>Sheet2!$B$42:$M$42</c:f>
              <c:numCache>
                <c:formatCode>0.0%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3.7252133404938793E-4</c:v>
                </c:pt>
                <c:pt idx="6">
                  <c:v>5.3508640441127753E-5</c:v>
                </c:pt>
                <c:pt idx="7">
                  <c:v>1.9062806476313995E-5</c:v>
                </c:pt>
                <c:pt idx="8">
                  <c:v>4.2378679693081735E-7</c:v>
                </c:pt>
                <c:pt idx="9">
                  <c:v>2.3479648860232953E-4</c:v>
                </c:pt>
                <c:pt idx="10">
                  <c:v>1.5919137148582543E-3</c:v>
                </c:pt>
                <c:pt idx="11">
                  <c:v>2.3007232472180349E-2</c:v>
                </c:pt>
              </c:numCache>
            </c:numRef>
          </c:val>
        </c:ser>
        <c:ser>
          <c:idx val="3"/>
          <c:order val="3"/>
          <c:tx>
            <c:strRef>
              <c:f>Sheet2!$A$43</c:f>
              <c:strCache>
                <c:ptCount val="1"/>
                <c:pt idx="0">
                  <c:v>八核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cat>
            <c:strRef>
              <c:f>Sheet2!$B$38:$M$38</c:f>
              <c:strCache>
                <c:ptCount val="12"/>
                <c:pt idx="0">
                  <c:v>2013Q1</c:v>
                </c:pt>
                <c:pt idx="1">
                  <c:v>2013Q2</c:v>
                </c:pt>
                <c:pt idx="2">
                  <c:v>2013Q3</c:v>
                </c:pt>
                <c:pt idx="3">
                  <c:v>2013Q4</c:v>
                </c:pt>
                <c:pt idx="4">
                  <c:v>2014Q1</c:v>
                </c:pt>
                <c:pt idx="5">
                  <c:v>2014Q2</c:v>
                </c:pt>
                <c:pt idx="6">
                  <c:v>2014Q3</c:v>
                </c:pt>
                <c:pt idx="7">
                  <c:v>2014Q4</c:v>
                </c:pt>
                <c:pt idx="8">
                  <c:v>2015Q1</c:v>
                </c:pt>
                <c:pt idx="9">
                  <c:v>2015Q2</c:v>
                </c:pt>
                <c:pt idx="10">
                  <c:v>2015Q3</c:v>
                </c:pt>
                <c:pt idx="11">
                  <c:v>2015Q4</c:v>
                </c:pt>
              </c:strCache>
            </c:strRef>
          </c:cat>
          <c:val>
            <c:numRef>
              <c:f>Sheet2!$B$43:$M$43</c:f>
              <c:numCache>
                <c:formatCode>0.0%</c:formatCode>
                <c:ptCount val="12"/>
                <c:pt idx="0">
                  <c:v>0</c:v>
                </c:pt>
                <c:pt idx="1">
                  <c:v>1.9649756344099972E-2</c:v>
                </c:pt>
                <c:pt idx="2">
                  <c:v>2.0588335634182685E-2</c:v>
                </c:pt>
                <c:pt idx="3">
                  <c:v>1.389750233963449E-2</c:v>
                </c:pt>
                <c:pt idx="4">
                  <c:v>2.1456600725833722E-2</c:v>
                </c:pt>
                <c:pt idx="5">
                  <c:v>7.2960484099351075E-2</c:v>
                </c:pt>
                <c:pt idx="6">
                  <c:v>7.5888123829622789E-2</c:v>
                </c:pt>
                <c:pt idx="7">
                  <c:v>7.5151864324363715E-2</c:v>
                </c:pt>
                <c:pt idx="8">
                  <c:v>0.20375521930521764</c:v>
                </c:pt>
                <c:pt idx="9">
                  <c:v>0.24688269143044234</c:v>
                </c:pt>
                <c:pt idx="10">
                  <c:v>0.37499483030083608</c:v>
                </c:pt>
                <c:pt idx="11">
                  <c:v>0.36838181997526342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743294424"/>
        <c:axId val="743295992"/>
        <c:axId val="0"/>
      </c:bar3DChart>
      <c:catAx>
        <c:axId val="7432944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700"/>
            </a:pPr>
            <a:endParaRPr lang="zh-CN"/>
          </a:p>
        </c:txPr>
        <c:crossAx val="743295992"/>
        <c:crosses val="autoZero"/>
        <c:auto val="1"/>
        <c:lblAlgn val="ctr"/>
        <c:lblOffset val="100"/>
        <c:noMultiLvlLbl val="0"/>
      </c:catAx>
      <c:valAx>
        <c:axId val="743295992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ln w="9525">
            <a:noFill/>
          </a:ln>
        </c:spPr>
        <c:crossAx val="7432944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sz="1400"/>
              <a:t>国内品牌手机芯片核数发展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八核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8.33333333333328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11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2013Q4</c:v>
                </c:pt>
                <c:pt idx="1">
                  <c:v>2014Q1</c:v>
                </c:pt>
                <c:pt idx="2">
                  <c:v>2014Q2</c:v>
                </c:pt>
                <c:pt idx="3">
                  <c:v>2014Q3</c:v>
                </c:pt>
                <c:pt idx="4">
                  <c:v>2014Q4</c:v>
                </c:pt>
                <c:pt idx="5">
                  <c:v>2015Q1</c:v>
                </c:pt>
                <c:pt idx="6">
                  <c:v>2015Q2</c:v>
                </c:pt>
                <c:pt idx="7">
                  <c:v>2015Q3</c:v>
                </c:pt>
                <c:pt idx="8">
                  <c:v>2015Q4</c:v>
                </c:pt>
              </c:strCache>
            </c:strRef>
          </c:cat>
          <c:val>
            <c:numRef>
              <c:f>Sheet1!$B$2:$J$2</c:f>
              <c:numCache>
                <c:formatCode>0.0%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0.39858032380061836</c:v>
                </c:pt>
                <c:pt idx="4">
                  <c:v>0.4636776009159474</c:v>
                </c:pt>
                <c:pt idx="5">
                  <c:v>0.78461100574567955</c:v>
                </c:pt>
                <c:pt idx="6">
                  <c:v>0.58681893274986352</c:v>
                </c:pt>
                <c:pt idx="7">
                  <c:v>0.74639991374982917</c:v>
                </c:pt>
                <c:pt idx="8">
                  <c:v>0.58962661746354772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四核</c:v>
                </c:pt>
              </c:strCache>
            </c:strRef>
          </c:tx>
          <c:spPr>
            <a:solidFill>
              <a:srgbClr val="F1960F"/>
            </a:solidFill>
          </c:spPr>
          <c:invertIfNegative val="0"/>
          <c:dLbls>
            <c:dLbl>
              <c:idx val="3"/>
              <c:layout>
                <c:manualLayout>
                  <c:x val="8.3333333333332829E-3"/>
                  <c:y val="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77777777777779E-3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22222222222222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9444444444444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94442257217848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2.7777777777777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2013Q4</c:v>
                </c:pt>
                <c:pt idx="1">
                  <c:v>2014Q1</c:v>
                </c:pt>
                <c:pt idx="2">
                  <c:v>2014Q2</c:v>
                </c:pt>
                <c:pt idx="3">
                  <c:v>2014Q3</c:v>
                </c:pt>
                <c:pt idx="4">
                  <c:v>2014Q4</c:v>
                </c:pt>
                <c:pt idx="5">
                  <c:v>2015Q1</c:v>
                </c:pt>
                <c:pt idx="6">
                  <c:v>2015Q2</c:v>
                </c:pt>
                <c:pt idx="7">
                  <c:v>2015Q3</c:v>
                </c:pt>
                <c:pt idx="8">
                  <c:v>2015Q4</c:v>
                </c:pt>
              </c:strCache>
            </c:strRef>
          </c:cat>
          <c:val>
            <c:numRef>
              <c:f>Sheet1!$B$3:$J$3</c:f>
              <c:numCache>
                <c:formatCode>0.0%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0.60141967619938164</c:v>
                </c:pt>
                <c:pt idx="4">
                  <c:v>0.53632239908405255</c:v>
                </c:pt>
                <c:pt idx="5">
                  <c:v>0.21538899425432045</c:v>
                </c:pt>
                <c:pt idx="6">
                  <c:v>0.41318106725013654</c:v>
                </c:pt>
                <c:pt idx="7">
                  <c:v>0.25360008625017083</c:v>
                </c:pt>
                <c:pt idx="8">
                  <c:v>0.41037338253645222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743295208"/>
        <c:axId val="743308928"/>
        <c:axId val="0"/>
      </c:bar3DChart>
      <c:catAx>
        <c:axId val="743295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743308928"/>
        <c:crosses val="autoZero"/>
        <c:auto val="1"/>
        <c:lblAlgn val="ctr"/>
        <c:lblOffset val="100"/>
        <c:noMultiLvlLbl val="0"/>
      </c:catAx>
      <c:valAx>
        <c:axId val="743308928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ln w="9525">
            <a:noFill/>
          </a:ln>
        </c:spPr>
        <c:crossAx val="7432952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sz="1600" b="0">
                <a:latin typeface="微软雅黑" panose="020B0503020204020204" pitchFamily="34" charset="-122"/>
                <a:ea typeface="微软雅黑" panose="020B0503020204020204" pitchFamily="34" charset="-122"/>
              </a:rPr>
              <a:t>国内市场全模手机价位分布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Sheet2!$A$32</c:f>
              <c:strCache>
                <c:ptCount val="1"/>
                <c:pt idx="0">
                  <c:v>2000以下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8.3333333333333332E-3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3333333333333332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2.7777777777777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Sheet2!$B$31:$F$31</c:f>
              <c:strCache>
                <c:ptCount val="5"/>
                <c:pt idx="0">
                  <c:v>2014Q4</c:v>
                </c:pt>
                <c:pt idx="1">
                  <c:v>2015Q1</c:v>
                </c:pt>
                <c:pt idx="2">
                  <c:v>2015Q2</c:v>
                </c:pt>
                <c:pt idx="3">
                  <c:v>2015Q3</c:v>
                </c:pt>
                <c:pt idx="4">
                  <c:v>2015Q4</c:v>
                </c:pt>
              </c:strCache>
            </c:strRef>
          </c:cat>
          <c:val>
            <c:numRef>
              <c:f>Sheet2!$B$32:$F$32</c:f>
              <c:numCache>
                <c:formatCode>0.00%</c:formatCode>
                <c:ptCount val="5"/>
                <c:pt idx="0">
                  <c:v>2.9399761124903512E-3</c:v>
                </c:pt>
                <c:pt idx="1">
                  <c:v>5.8501604430784032E-2</c:v>
                </c:pt>
                <c:pt idx="2">
                  <c:v>6.9559207836747919E-2</c:v>
                </c:pt>
                <c:pt idx="3">
                  <c:v>8.3281763496050196E-2</c:v>
                </c:pt>
                <c:pt idx="4">
                  <c:v>0.2838</c:v>
                </c:pt>
              </c:numCache>
            </c:numRef>
          </c:val>
        </c:ser>
        <c:ser>
          <c:idx val="1"/>
          <c:order val="1"/>
          <c:tx>
            <c:strRef>
              <c:f>Sheet2!$A$33</c:f>
              <c:strCache>
                <c:ptCount val="1"/>
                <c:pt idx="0">
                  <c:v>2000~4000</c:v>
                </c:pt>
              </c:strCache>
            </c:strRef>
          </c:tx>
          <c:spPr>
            <a:solidFill>
              <a:srgbClr val="CC3300"/>
            </a:solidFill>
          </c:spPr>
          <c:invertIfNegative val="0"/>
          <c:dLbls>
            <c:dLbl>
              <c:idx val="1"/>
              <c:layout>
                <c:manualLayout>
                  <c:x val="-5.0925337632079971E-17"/>
                  <c:y val="-3.240740740740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77777777777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Sheet2!$B$31:$F$31</c:f>
              <c:strCache>
                <c:ptCount val="5"/>
                <c:pt idx="0">
                  <c:v>2014Q4</c:v>
                </c:pt>
                <c:pt idx="1">
                  <c:v>2015Q1</c:v>
                </c:pt>
                <c:pt idx="2">
                  <c:v>2015Q2</c:v>
                </c:pt>
                <c:pt idx="3">
                  <c:v>2015Q3</c:v>
                </c:pt>
                <c:pt idx="4">
                  <c:v>2015Q4</c:v>
                </c:pt>
              </c:strCache>
            </c:strRef>
          </c:cat>
          <c:val>
            <c:numRef>
              <c:f>Sheet2!$B$33:$F$33</c:f>
              <c:numCache>
                <c:formatCode>0.00%</c:formatCode>
                <c:ptCount val="5"/>
                <c:pt idx="0">
                  <c:v>3.517279327394488E-4</c:v>
                </c:pt>
                <c:pt idx="1">
                  <c:v>6.7455605738376331E-4</c:v>
                </c:pt>
                <c:pt idx="2">
                  <c:v>7.4617413231569231E-3</c:v>
                </c:pt>
                <c:pt idx="3">
                  <c:v>0.16149037764952565</c:v>
                </c:pt>
                <c:pt idx="4">
                  <c:v>0.1875</c:v>
                </c:pt>
              </c:numCache>
            </c:numRef>
          </c:val>
        </c:ser>
        <c:ser>
          <c:idx val="2"/>
          <c:order val="2"/>
          <c:tx>
            <c:strRef>
              <c:f>Sheet2!$A$34</c:f>
              <c:strCache>
                <c:ptCount val="1"/>
                <c:pt idx="0">
                  <c:v>4000元以上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Sheet2!$B$31:$F$31</c:f>
              <c:strCache>
                <c:ptCount val="5"/>
                <c:pt idx="0">
                  <c:v>2014Q4</c:v>
                </c:pt>
                <c:pt idx="1">
                  <c:v>2015Q1</c:v>
                </c:pt>
                <c:pt idx="2">
                  <c:v>2015Q2</c:v>
                </c:pt>
                <c:pt idx="3">
                  <c:v>2015Q3</c:v>
                </c:pt>
                <c:pt idx="4">
                  <c:v>2015Q4</c:v>
                </c:pt>
              </c:strCache>
            </c:strRef>
          </c:cat>
          <c:val>
            <c:numRef>
              <c:f>Sheet2!$B$34:$F$34</c:f>
              <c:numCache>
                <c:formatCode>0.00%</c:formatCode>
                <c:ptCount val="5"/>
                <c:pt idx="0">
                  <c:v>0.93840067124945237</c:v>
                </c:pt>
                <c:pt idx="1">
                  <c:v>0.88205536225567183</c:v>
                </c:pt>
                <c:pt idx="2">
                  <c:v>0.88271911002684356</c:v>
                </c:pt>
                <c:pt idx="3">
                  <c:v>0.65752925302359899</c:v>
                </c:pt>
                <c:pt idx="4">
                  <c:v>0.5286973098424016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743289328"/>
        <c:axId val="743305792"/>
        <c:axId val="0"/>
      </c:bar3DChart>
      <c:catAx>
        <c:axId val="743289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43305792"/>
        <c:crosses val="autoZero"/>
        <c:auto val="1"/>
        <c:lblAlgn val="ctr"/>
        <c:lblOffset val="100"/>
        <c:noMultiLvlLbl val="0"/>
      </c:catAx>
      <c:valAx>
        <c:axId val="743305792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ln w="9525">
            <a:noFill/>
          </a:ln>
        </c:spPr>
        <c:crossAx val="7432893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sz="1600"/>
              <a:t>国内品牌全模手机芯片占比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3333333333333333E-2"/>
                  <c:y val="-2.314814814814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2222222222222223E-2"/>
                  <c:y val="-2.7778142315543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0555555555555555E-2"/>
                  <c:y val="-3.2407407407407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3333333333333333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Sheet1!$C$7:$F$7</c:f>
              <c:strCache>
                <c:ptCount val="4"/>
                <c:pt idx="0">
                  <c:v>2015Q1</c:v>
                </c:pt>
                <c:pt idx="1">
                  <c:v>2015Q2</c:v>
                </c:pt>
                <c:pt idx="2">
                  <c:v>2015Q3</c:v>
                </c:pt>
                <c:pt idx="3">
                  <c:v>2015Q4</c:v>
                </c:pt>
              </c:strCache>
            </c:strRef>
          </c:cat>
          <c:val>
            <c:numRef>
              <c:f>Sheet1!$C$9:$F$9</c:f>
              <c:numCache>
                <c:formatCode>0.0%</c:formatCode>
                <c:ptCount val="4"/>
                <c:pt idx="0">
                  <c:v>0</c:v>
                </c:pt>
                <c:pt idx="1">
                  <c:v>9.0336899068600891E-4</c:v>
                </c:pt>
                <c:pt idx="2">
                  <c:v>3.0668836896105049E-2</c:v>
                </c:pt>
                <c:pt idx="3">
                  <c:v>3.7207895679757699E-2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743299520"/>
        <c:axId val="743299912"/>
        <c:axId val="0"/>
      </c:bar3DChart>
      <c:catAx>
        <c:axId val="743299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43299912"/>
        <c:crosses val="autoZero"/>
        <c:auto val="1"/>
        <c:lblAlgn val="ctr"/>
        <c:lblOffset val="100"/>
        <c:noMultiLvlLbl val="0"/>
      </c:catAx>
      <c:valAx>
        <c:axId val="743299912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ln w="9525">
            <a:noFill/>
          </a:ln>
        </c:spPr>
        <c:crossAx val="7432995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0.17544</cdr:x>
      <cdr:y>0.19753</cdr:y>
    </cdr:from>
    <cdr:to>
      <cdr:x>0.24561</cdr:x>
      <cdr:y>0.46914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1" y="609600"/>
          <a:ext cx="381000" cy="8381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zh-CN" altLang="en-US" sz="800"/>
            <a:t>单位：百万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0.00417</cdr:x>
      <cdr:y>0.07639</cdr:y>
    </cdr:from>
    <cdr:to>
      <cdr:x>0.19375</cdr:x>
      <cdr:y>0.17014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050" y="209550"/>
          <a:ext cx="8667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zh-CN" altLang="en-US" sz="900"/>
            <a:t>单位：百万</a:t>
          </a:r>
        </a:p>
      </cdr:txBody>
    </cdr: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E1F5-4B25-4034-96E7-80590582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</Words>
  <Characters>2051</Characters>
  <Application>Microsoft Office Word</Application>
  <DocSecurity>4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闻立群</dc:creator>
  <cp:lastModifiedBy>李婷</cp:lastModifiedBy>
  <cp:revision>2</cp:revision>
  <cp:lastPrinted>2016-03-21T07:37:00Z</cp:lastPrinted>
  <dcterms:created xsi:type="dcterms:W3CDTF">2016-03-29T05:44:00Z</dcterms:created>
  <dcterms:modified xsi:type="dcterms:W3CDTF">2016-03-29T05:44:00Z</dcterms:modified>
</cp:coreProperties>
</file>