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5410E7" w:rsidRPr="00E5722B" w:rsidRDefault="005410E7" w:rsidP="005410E7">
      <w:pPr>
        <w:jc w:val="center"/>
        <w:rPr>
          <w:rFonts w:ascii="Arial" w:hAnsi="Arial" w:cs="Arial"/>
        </w:rPr>
      </w:pPr>
    </w:p>
    <w:p w:rsidR="00F453B9" w:rsidRPr="00E5722B" w:rsidRDefault="00F453B9" w:rsidP="00B727F4">
      <w:pPr>
        <w:autoSpaceDE w:val="0"/>
        <w:autoSpaceDN w:val="0"/>
        <w:adjustRightInd w:val="0"/>
        <w:jc w:val="center"/>
        <w:rPr>
          <w:rFonts w:ascii="Arial" w:eastAsia="黑体" w:hAnsi="Arial" w:cs="Arial"/>
          <w:b/>
          <w:sz w:val="72"/>
          <w:szCs w:val="44"/>
        </w:rPr>
      </w:pPr>
      <w:r w:rsidRPr="00E5722B">
        <w:rPr>
          <w:rFonts w:ascii="Arial" w:eastAsia="黑体" w:hAnsi="Arial" w:cs="Arial"/>
          <w:b/>
          <w:sz w:val="72"/>
          <w:szCs w:val="44"/>
        </w:rPr>
        <w:t>Authori</w:t>
      </w:r>
      <w:r w:rsidR="00B727F4" w:rsidRPr="00E5722B">
        <w:rPr>
          <w:rFonts w:ascii="Arial" w:eastAsia="黑体" w:hAnsi="Arial" w:cs="Arial"/>
          <w:b/>
          <w:sz w:val="72"/>
          <w:szCs w:val="44"/>
        </w:rPr>
        <w:t>zed</w:t>
      </w:r>
      <w:r w:rsidRPr="00E5722B">
        <w:rPr>
          <w:rFonts w:ascii="Arial" w:eastAsia="黑体" w:hAnsi="Arial" w:cs="Arial"/>
          <w:b/>
          <w:sz w:val="72"/>
          <w:szCs w:val="44"/>
        </w:rPr>
        <w:t xml:space="preserve"> </w:t>
      </w:r>
      <w:r w:rsidR="00B727F4" w:rsidRPr="00E5722B">
        <w:rPr>
          <w:rFonts w:ascii="Arial" w:eastAsia="黑体" w:hAnsi="Arial" w:cs="Arial"/>
          <w:b/>
          <w:sz w:val="72"/>
          <w:szCs w:val="44"/>
        </w:rPr>
        <w:t>Release</w:t>
      </w:r>
    </w:p>
    <w:p w:rsidR="00F453B9" w:rsidRPr="00E5722B" w:rsidRDefault="00F453B9" w:rsidP="00F453B9">
      <w:pPr>
        <w:rPr>
          <w:rFonts w:ascii="Arial" w:hAnsi="Arial" w:cs="Arial"/>
        </w:rPr>
      </w:pPr>
    </w:p>
    <w:p w:rsidR="003348C2" w:rsidRDefault="003348C2" w:rsidP="00B727F4">
      <w:pPr>
        <w:pStyle w:val="a5"/>
        <w:spacing w:before="0" w:after="0" w:line="240" w:lineRule="auto"/>
        <w:rPr>
          <w:rFonts w:ascii="Arial" w:eastAsiaTheme="majorEastAsia" w:hAnsi="Arial" w:cs="Arial"/>
          <w:sz w:val="36"/>
        </w:rPr>
      </w:pPr>
      <w:r>
        <w:rPr>
          <w:rFonts w:ascii="Arial" w:eastAsiaTheme="majorEastAsia" w:hAnsi="Arial" w:cs="Arial"/>
          <w:sz w:val="36"/>
        </w:rPr>
        <w:t>Chin</w:t>
      </w:r>
      <w:r w:rsidR="0073099A">
        <w:rPr>
          <w:rFonts w:ascii="Arial" w:eastAsiaTheme="majorEastAsia" w:hAnsi="Arial" w:cs="Arial"/>
          <w:sz w:val="36"/>
        </w:rPr>
        <w:t>a</w:t>
      </w:r>
      <w:r>
        <w:rPr>
          <w:rFonts w:ascii="Arial" w:eastAsiaTheme="majorEastAsia" w:hAnsi="Arial" w:cs="Arial"/>
          <w:sz w:val="36"/>
        </w:rPr>
        <w:t xml:space="preserve"> </w:t>
      </w:r>
      <w:r w:rsidR="00F453B9" w:rsidRPr="00E5722B">
        <w:rPr>
          <w:rFonts w:ascii="Arial" w:eastAsiaTheme="majorEastAsia" w:hAnsi="Arial" w:cs="Arial"/>
          <w:sz w:val="36"/>
        </w:rPr>
        <w:t>Mobile Phone Market Report</w:t>
      </w:r>
    </w:p>
    <w:p w:rsidR="00F453B9" w:rsidRPr="00E5722B" w:rsidRDefault="00BE6C35" w:rsidP="00B727F4">
      <w:pPr>
        <w:pStyle w:val="a5"/>
        <w:spacing w:before="0" w:after="0" w:line="240" w:lineRule="auto"/>
        <w:rPr>
          <w:rFonts w:ascii="Arial" w:eastAsiaTheme="majorEastAsia" w:hAnsi="Arial" w:cs="Arial"/>
          <w:sz w:val="36"/>
        </w:rPr>
      </w:pPr>
      <w:r>
        <w:rPr>
          <w:rFonts w:ascii="Arial" w:eastAsiaTheme="majorEastAsia" w:hAnsi="Arial" w:cs="Arial"/>
          <w:sz w:val="36"/>
        </w:rPr>
        <w:t>April</w:t>
      </w:r>
      <w:r w:rsidR="00E5722B">
        <w:rPr>
          <w:rFonts w:ascii="Arial" w:eastAsiaTheme="majorEastAsia" w:hAnsi="Arial" w:cs="Arial"/>
          <w:sz w:val="36"/>
        </w:rPr>
        <w:t>,</w:t>
      </w:r>
      <w:r w:rsidR="00F453B9" w:rsidRPr="00E5722B">
        <w:rPr>
          <w:rFonts w:ascii="Arial" w:eastAsiaTheme="majorEastAsia" w:hAnsi="Arial" w:cs="Arial"/>
          <w:sz w:val="36"/>
        </w:rPr>
        <w:t xml:space="preserve"> 2016</w:t>
      </w: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4B5283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E5722B" w:rsidRDefault="00F453B9" w:rsidP="00F453B9">
      <w:pPr>
        <w:rPr>
          <w:rFonts w:ascii="Arial" w:hAnsi="Arial" w:cs="Arial"/>
        </w:rPr>
      </w:pPr>
    </w:p>
    <w:p w:rsidR="005410E7" w:rsidRPr="00E5722B" w:rsidRDefault="005410E7" w:rsidP="00F453B9">
      <w:pPr>
        <w:rPr>
          <w:rFonts w:ascii="Arial" w:hAnsi="Arial" w:cs="Arial"/>
        </w:rPr>
      </w:pPr>
    </w:p>
    <w:p w:rsidR="005410E7" w:rsidRPr="00E5722B" w:rsidRDefault="005410E7" w:rsidP="00F453B9">
      <w:pPr>
        <w:rPr>
          <w:rFonts w:ascii="Arial" w:hAnsi="Arial" w:cs="Arial"/>
        </w:rPr>
      </w:pPr>
    </w:p>
    <w:p w:rsidR="005410E7" w:rsidRPr="00E5722B" w:rsidRDefault="005410E7" w:rsidP="005410E7">
      <w:pPr>
        <w:autoSpaceDE w:val="0"/>
        <w:autoSpaceDN w:val="0"/>
        <w:adjustRightInd w:val="0"/>
        <w:jc w:val="center"/>
        <w:rPr>
          <w:rFonts w:ascii="Arial" w:eastAsia="黑体" w:hAnsi="Arial" w:cs="Arial"/>
          <w:sz w:val="28"/>
          <w:szCs w:val="44"/>
        </w:rPr>
      </w:pPr>
      <w:r w:rsidRPr="00E5722B">
        <w:rPr>
          <w:rFonts w:ascii="Arial" w:eastAsia="黑体" w:hAnsi="Arial" w:cs="Arial"/>
          <w:sz w:val="28"/>
          <w:szCs w:val="44"/>
        </w:rPr>
        <w:t>Published by</w:t>
      </w:r>
    </w:p>
    <w:p w:rsidR="00F453B9" w:rsidRPr="00E5722B" w:rsidRDefault="005410E7" w:rsidP="005410E7">
      <w:pPr>
        <w:autoSpaceDE w:val="0"/>
        <w:autoSpaceDN w:val="0"/>
        <w:adjustRightInd w:val="0"/>
        <w:jc w:val="center"/>
        <w:rPr>
          <w:rFonts w:ascii="Arial" w:eastAsia="黑体" w:hAnsi="Arial" w:cs="Arial"/>
          <w:sz w:val="28"/>
          <w:szCs w:val="44"/>
        </w:rPr>
      </w:pPr>
      <w:r w:rsidRPr="00E5722B">
        <w:rPr>
          <w:rFonts w:ascii="Arial" w:eastAsia="黑体" w:hAnsi="Arial" w:cs="Arial"/>
          <w:sz w:val="28"/>
          <w:szCs w:val="44"/>
        </w:rPr>
        <w:t>China Academy of Information and Communications Technology</w:t>
      </w:r>
    </w:p>
    <w:p w:rsidR="00F453B9" w:rsidRPr="00E5722B" w:rsidRDefault="00BE6C35" w:rsidP="005410E7">
      <w:pPr>
        <w:autoSpaceDE w:val="0"/>
        <w:autoSpaceDN w:val="0"/>
        <w:adjustRightInd w:val="0"/>
        <w:jc w:val="center"/>
        <w:rPr>
          <w:rFonts w:ascii="Arial" w:eastAsia="黑体" w:hAnsi="Arial" w:cs="Arial"/>
          <w:sz w:val="28"/>
          <w:szCs w:val="44"/>
        </w:rPr>
      </w:pPr>
      <w:r>
        <w:rPr>
          <w:rFonts w:ascii="Arial" w:eastAsia="黑体" w:hAnsi="Arial" w:cs="Arial"/>
          <w:sz w:val="28"/>
          <w:szCs w:val="44"/>
        </w:rPr>
        <w:t>May</w:t>
      </w:r>
      <w:r w:rsidR="003348C2">
        <w:rPr>
          <w:rFonts w:ascii="Arial" w:eastAsia="黑体" w:hAnsi="Arial" w:cs="Arial"/>
          <w:sz w:val="28"/>
          <w:szCs w:val="44"/>
        </w:rPr>
        <w:t>,</w:t>
      </w:r>
      <w:r w:rsidR="00F453B9" w:rsidRPr="00E5722B">
        <w:rPr>
          <w:rFonts w:ascii="Arial" w:eastAsia="黑体" w:hAnsi="Arial" w:cs="Arial"/>
          <w:sz w:val="28"/>
          <w:szCs w:val="44"/>
        </w:rPr>
        <w:t xml:space="preserve"> 2016</w:t>
      </w:r>
    </w:p>
    <w:p w:rsidR="00E5722B" w:rsidRPr="00E5722B" w:rsidRDefault="00E5722B" w:rsidP="00F453B9">
      <w:pPr>
        <w:rPr>
          <w:rFonts w:ascii="Arial" w:hAnsi="Arial" w:cs="Arial"/>
        </w:rPr>
      </w:pPr>
    </w:p>
    <w:p w:rsidR="00F453B9" w:rsidRPr="00E5722B" w:rsidRDefault="005410E7" w:rsidP="00E5722B">
      <w:pPr>
        <w:pStyle w:val="3"/>
        <w:rPr>
          <w:rFonts w:ascii="Arial" w:hAnsi="Arial" w:cs="Arial"/>
        </w:rPr>
      </w:pPr>
      <w:r w:rsidRPr="003348C2">
        <w:rPr>
          <w:rFonts w:ascii="Arial" w:hAnsi="Arial" w:cs="Arial"/>
          <w:sz w:val="28"/>
        </w:rPr>
        <w:lastRenderedPageBreak/>
        <w:t>Part 1</w:t>
      </w:r>
      <w:r w:rsidR="003348C2">
        <w:rPr>
          <w:rFonts w:ascii="Arial" w:hAnsi="Arial" w:cs="Arial"/>
          <w:sz w:val="28"/>
        </w:rPr>
        <w:t>.</w:t>
      </w:r>
      <w:r w:rsidR="0043000B" w:rsidRPr="003348C2">
        <w:rPr>
          <w:rFonts w:ascii="Arial" w:hAnsi="Arial" w:cs="Arial"/>
          <w:sz w:val="28"/>
        </w:rPr>
        <w:t xml:space="preserve"> Overall Mobile Phone M</w:t>
      </w:r>
      <w:r w:rsidR="00F453B9" w:rsidRPr="003348C2">
        <w:rPr>
          <w:rFonts w:ascii="Arial" w:hAnsi="Arial" w:cs="Arial"/>
          <w:sz w:val="28"/>
        </w:rPr>
        <w:t>arket</w:t>
      </w:r>
      <w:r w:rsidRPr="003348C2">
        <w:rPr>
          <w:rFonts w:ascii="Arial" w:hAnsi="Arial" w:cs="Arial"/>
          <w:sz w:val="28"/>
        </w:rPr>
        <w:t xml:space="preserve"> in China</w:t>
      </w:r>
    </w:p>
    <w:p w:rsidR="0043000B" w:rsidRPr="00E5722B" w:rsidRDefault="0043000B" w:rsidP="00F453B9">
      <w:pPr>
        <w:rPr>
          <w:rFonts w:ascii="Arial" w:hAnsi="Arial" w:cs="Arial"/>
        </w:rPr>
      </w:pPr>
    </w:p>
    <w:p w:rsidR="00F022B2" w:rsidRPr="00E5722B" w:rsidRDefault="00BE6C35" w:rsidP="00F453B9">
      <w:pPr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AD3C17" w:rsidRPr="00AD3C17">
        <w:rPr>
          <w:rFonts w:ascii="Arial" w:hAnsi="Arial" w:cs="Arial"/>
        </w:rPr>
        <w:t xml:space="preserve"> domestic mobile phone shipments</w:t>
      </w:r>
      <w:r w:rsidR="00AD3C17">
        <w:rPr>
          <w:rFonts w:ascii="Arial" w:hAnsi="Arial" w:cs="Arial"/>
        </w:rPr>
        <w:t xml:space="preserve"> </w:t>
      </w:r>
      <w:r w:rsidR="00AD3C17" w:rsidRPr="00AD3C17">
        <w:rPr>
          <w:rFonts w:ascii="Arial" w:hAnsi="Arial" w:cs="Arial"/>
        </w:rPr>
        <w:t xml:space="preserve">reached </w:t>
      </w:r>
      <w:r>
        <w:rPr>
          <w:rFonts w:ascii="Arial" w:hAnsi="Arial" w:cs="Arial"/>
        </w:rPr>
        <w:t>42.5</w:t>
      </w:r>
      <w:r w:rsidR="00AD3C17" w:rsidRPr="00AD3C17">
        <w:rPr>
          <w:rFonts w:ascii="Arial" w:hAnsi="Arial" w:cs="Arial"/>
        </w:rPr>
        <w:t xml:space="preserve"> million units, </w:t>
      </w:r>
      <w:r>
        <w:rPr>
          <w:rFonts w:ascii="Arial" w:hAnsi="Arial" w:cs="Arial"/>
        </w:rPr>
        <w:t>down</w:t>
      </w:r>
      <w:r w:rsidR="00AD3C17" w:rsidRPr="00AD3C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5.9 </w:t>
      </w:r>
      <w:r w:rsidR="00AD3C17" w:rsidRPr="00AD3C17">
        <w:rPr>
          <w:rFonts w:ascii="Arial" w:hAnsi="Arial" w:cs="Arial"/>
        </w:rPr>
        <w:t xml:space="preserve">percent year over year. </w:t>
      </w:r>
      <w:r>
        <w:rPr>
          <w:rFonts w:ascii="Arial" w:hAnsi="Arial" w:cs="Arial"/>
        </w:rPr>
        <w:t>180</w:t>
      </w:r>
      <w:r w:rsidR="00AD3C17">
        <w:rPr>
          <w:rFonts w:ascii="Arial" w:hAnsi="Arial" w:cs="Arial"/>
        </w:rPr>
        <w:t xml:space="preserve"> new</w:t>
      </w:r>
      <w:r w:rsidR="00AD3C17" w:rsidRPr="00AD3C17">
        <w:rPr>
          <w:rFonts w:ascii="Arial" w:hAnsi="Arial" w:cs="Arial"/>
        </w:rPr>
        <w:t xml:space="preserve"> models were released in the month, </w:t>
      </w:r>
      <w:r>
        <w:rPr>
          <w:rFonts w:ascii="Arial" w:hAnsi="Arial" w:cs="Arial"/>
        </w:rPr>
        <w:t>up 36.4</w:t>
      </w:r>
      <w:r w:rsidR="00AD3C17" w:rsidRPr="00AD3C17">
        <w:rPr>
          <w:rFonts w:ascii="Arial" w:hAnsi="Arial" w:cs="Arial"/>
        </w:rPr>
        <w:t xml:space="preserve"> percent year over year.</w:t>
      </w:r>
    </w:p>
    <w:p w:rsidR="00F022B2" w:rsidRPr="00662571" w:rsidRDefault="00F022B2" w:rsidP="00F453B9">
      <w:pPr>
        <w:rPr>
          <w:rFonts w:ascii="Arial" w:hAnsi="Arial" w:cs="Arial"/>
        </w:rPr>
      </w:pPr>
    </w:p>
    <w:p w:rsidR="00F453B9" w:rsidRPr="00662571" w:rsidRDefault="00AD3C17" w:rsidP="00AD3C17">
      <w:pPr>
        <w:rPr>
          <w:rFonts w:ascii="Arial" w:hAnsi="Arial" w:cs="Arial"/>
        </w:rPr>
      </w:pPr>
      <w:r w:rsidRPr="00662571">
        <w:rPr>
          <w:rFonts w:ascii="Arial" w:hAnsi="Arial" w:cs="Arial"/>
        </w:rPr>
        <w:t xml:space="preserve">YTD domestic mobile phone shipments reached </w:t>
      </w:r>
      <w:r w:rsidR="00BE6C35">
        <w:rPr>
          <w:rFonts w:ascii="Arial" w:hAnsi="Arial" w:cs="Arial"/>
        </w:rPr>
        <w:t>158.9</w:t>
      </w:r>
      <w:r w:rsidRPr="00662571">
        <w:rPr>
          <w:rFonts w:ascii="Arial" w:hAnsi="Arial" w:cs="Arial"/>
        </w:rPr>
        <w:t xml:space="preserve"> million units and YTD number of new model release reached</w:t>
      </w:r>
      <w:r w:rsidR="00BE6C35">
        <w:rPr>
          <w:rFonts w:ascii="Arial" w:hAnsi="Arial" w:cs="Arial"/>
        </w:rPr>
        <w:t xml:space="preserve"> 508, up 3.0 percent and 1.0</w:t>
      </w:r>
      <w:r w:rsidRPr="00662571">
        <w:rPr>
          <w:rFonts w:ascii="Arial" w:hAnsi="Arial" w:cs="Arial"/>
        </w:rPr>
        <w:t xml:space="preserve"> percent year over year, respectively.</w:t>
      </w:r>
    </w:p>
    <w:p w:rsidR="00F453B9" w:rsidRPr="00281620" w:rsidRDefault="00F453B9" w:rsidP="00F453B9">
      <w:pPr>
        <w:rPr>
          <w:rFonts w:ascii="Arial" w:hAnsi="Arial" w:cs="Arial"/>
        </w:rPr>
      </w:pPr>
    </w:p>
    <w:p w:rsidR="00F453B9" w:rsidRPr="00E5722B" w:rsidRDefault="00A605EA" w:rsidP="003348C2">
      <w:pPr>
        <w:jc w:val="left"/>
        <w:rPr>
          <w:rFonts w:ascii="Arial" w:hAnsi="Arial" w:cs="Arial"/>
          <w:b/>
        </w:rPr>
      </w:pPr>
      <w:r w:rsidRPr="00E5722B">
        <w:rPr>
          <w:rFonts w:ascii="Arial" w:hAnsi="Arial" w:cs="Arial"/>
          <w:b/>
        </w:rPr>
        <w:t>Chart</w:t>
      </w:r>
      <w:r w:rsidR="00F453B9" w:rsidRPr="00E5722B">
        <w:rPr>
          <w:rFonts w:ascii="Arial" w:hAnsi="Arial" w:cs="Arial"/>
          <w:b/>
        </w:rPr>
        <w:t xml:space="preserve"> 1: </w:t>
      </w:r>
      <w:r w:rsidR="00FB1881">
        <w:rPr>
          <w:rFonts w:ascii="Arial" w:hAnsi="Arial" w:cs="Arial"/>
          <w:b/>
        </w:rPr>
        <w:t>D</w:t>
      </w:r>
      <w:r w:rsidR="004672A6" w:rsidRPr="00E5722B">
        <w:rPr>
          <w:rFonts w:ascii="Arial" w:hAnsi="Arial" w:cs="Arial"/>
          <w:b/>
        </w:rPr>
        <w:t xml:space="preserve">omestic mobile phone </w:t>
      </w:r>
      <w:r w:rsidR="00E5722B" w:rsidRPr="00E5722B">
        <w:rPr>
          <w:rFonts w:ascii="Arial" w:hAnsi="Arial" w:cs="Arial"/>
          <w:b/>
        </w:rPr>
        <w:t>shipment</w:t>
      </w:r>
      <w:r w:rsidR="0073099A">
        <w:rPr>
          <w:rFonts w:ascii="Arial" w:hAnsi="Arial" w:cs="Arial"/>
          <w:b/>
        </w:rPr>
        <w:t>s</w:t>
      </w:r>
      <w:r w:rsidR="004672A6" w:rsidRPr="00E5722B">
        <w:rPr>
          <w:rFonts w:ascii="Arial" w:hAnsi="Arial" w:cs="Arial"/>
          <w:b/>
        </w:rPr>
        <w:t xml:space="preserve"> </w:t>
      </w:r>
      <w:r w:rsidRPr="00E5722B">
        <w:rPr>
          <w:rFonts w:ascii="Arial" w:hAnsi="Arial" w:cs="Arial"/>
          <w:b/>
        </w:rPr>
        <w:t xml:space="preserve">from </w:t>
      </w:r>
      <w:r w:rsidR="00BE6C35">
        <w:rPr>
          <w:rFonts w:ascii="Arial" w:hAnsi="Arial" w:cs="Arial"/>
          <w:b/>
        </w:rPr>
        <w:t>April</w:t>
      </w:r>
      <w:r w:rsidRPr="00E5722B">
        <w:rPr>
          <w:rFonts w:ascii="Arial" w:hAnsi="Arial" w:cs="Arial"/>
          <w:b/>
        </w:rPr>
        <w:t xml:space="preserve"> 2015 to </w:t>
      </w:r>
      <w:r w:rsidR="00BE6C35">
        <w:rPr>
          <w:rFonts w:ascii="Arial" w:hAnsi="Arial" w:cs="Arial"/>
          <w:b/>
        </w:rPr>
        <w:t>April</w:t>
      </w:r>
      <w:r w:rsidR="003348C2">
        <w:rPr>
          <w:rFonts w:ascii="Arial" w:hAnsi="Arial" w:cs="Arial"/>
          <w:b/>
        </w:rPr>
        <w:t xml:space="preserve"> </w:t>
      </w:r>
      <w:r w:rsidRPr="00E5722B">
        <w:rPr>
          <w:rFonts w:ascii="Arial" w:hAnsi="Arial" w:cs="Arial"/>
          <w:b/>
        </w:rPr>
        <w:t>2016</w:t>
      </w:r>
    </w:p>
    <w:p w:rsidR="004672A6" w:rsidRPr="00E5722B" w:rsidRDefault="00F453B9" w:rsidP="00F453B9">
      <w:pPr>
        <w:rPr>
          <w:rFonts w:ascii="Arial" w:hAnsi="Arial" w:cs="Arial"/>
        </w:rPr>
      </w:pPr>
      <w:r w:rsidRPr="00E5722B">
        <w:rPr>
          <w:rFonts w:ascii="Arial" w:hAnsi="Arial" w:cs="Arial"/>
        </w:rPr>
        <w:t> </w:t>
      </w:r>
      <w:r w:rsidR="007029C7" w:rsidRPr="00E5722B">
        <w:rPr>
          <w:rFonts w:ascii="Arial" w:hAnsi="Arial" w:cs="Arial"/>
          <w:noProof/>
          <w:sz w:val="24"/>
        </w:rPr>
        <w:drawing>
          <wp:inline distT="0" distB="0" distL="0" distR="0" wp14:anchorId="3EB1D48F" wp14:editId="473459E0">
            <wp:extent cx="5274310" cy="3001645"/>
            <wp:effectExtent l="0" t="0" r="2540" b="8255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29C7" w:rsidRPr="00E5722B" w:rsidRDefault="007029C7" w:rsidP="00F453B9">
      <w:pPr>
        <w:rPr>
          <w:rFonts w:ascii="Arial" w:hAnsi="Arial" w:cs="Arial"/>
        </w:rPr>
      </w:pPr>
    </w:p>
    <w:p w:rsidR="00F453B9" w:rsidRPr="003348C2" w:rsidRDefault="004672A6" w:rsidP="003348C2">
      <w:pPr>
        <w:pStyle w:val="3"/>
        <w:rPr>
          <w:rFonts w:ascii="Arial" w:hAnsi="Arial" w:cs="Arial"/>
          <w:sz w:val="28"/>
        </w:rPr>
      </w:pPr>
      <w:r w:rsidRPr="003348C2">
        <w:rPr>
          <w:rFonts w:ascii="Arial" w:hAnsi="Arial" w:cs="Arial"/>
          <w:sz w:val="28"/>
        </w:rPr>
        <w:t>Part 2</w:t>
      </w:r>
      <w:r w:rsidR="003348C2">
        <w:rPr>
          <w:rFonts w:ascii="Arial" w:hAnsi="Arial" w:cs="Arial"/>
          <w:sz w:val="28"/>
        </w:rPr>
        <w:t>.</w:t>
      </w:r>
      <w:r w:rsidR="00F453B9" w:rsidRPr="003348C2">
        <w:rPr>
          <w:rFonts w:ascii="Arial" w:hAnsi="Arial" w:cs="Arial"/>
          <w:sz w:val="28"/>
        </w:rPr>
        <w:t xml:space="preserve"> </w:t>
      </w:r>
      <w:r w:rsidRPr="003348C2">
        <w:rPr>
          <w:rFonts w:ascii="Arial" w:hAnsi="Arial" w:cs="Arial"/>
          <w:sz w:val="28"/>
        </w:rPr>
        <w:t xml:space="preserve">Development of </w:t>
      </w:r>
      <w:r w:rsidR="00F453B9" w:rsidRPr="003348C2">
        <w:rPr>
          <w:rFonts w:ascii="Arial" w:hAnsi="Arial" w:cs="Arial"/>
          <w:sz w:val="28"/>
        </w:rPr>
        <w:t xml:space="preserve">4G </w:t>
      </w:r>
      <w:r w:rsidRPr="003348C2">
        <w:rPr>
          <w:rFonts w:ascii="Arial" w:hAnsi="Arial" w:cs="Arial"/>
          <w:sz w:val="28"/>
        </w:rPr>
        <w:t>M</w:t>
      </w:r>
      <w:r w:rsidR="00F453B9" w:rsidRPr="003348C2">
        <w:rPr>
          <w:rFonts w:ascii="Arial" w:hAnsi="Arial" w:cs="Arial"/>
          <w:sz w:val="28"/>
        </w:rPr>
        <w:t xml:space="preserve">obile </w:t>
      </w:r>
      <w:r w:rsidRPr="003348C2">
        <w:rPr>
          <w:rFonts w:ascii="Arial" w:hAnsi="Arial" w:cs="Arial"/>
          <w:sz w:val="28"/>
        </w:rPr>
        <w:t>P</w:t>
      </w:r>
      <w:r w:rsidR="00F453B9" w:rsidRPr="003348C2">
        <w:rPr>
          <w:rFonts w:ascii="Arial" w:hAnsi="Arial" w:cs="Arial"/>
          <w:sz w:val="28"/>
        </w:rPr>
        <w:t>hone</w:t>
      </w:r>
      <w:r w:rsidR="00924CF8" w:rsidRPr="003348C2">
        <w:rPr>
          <w:rFonts w:ascii="Arial" w:hAnsi="Arial" w:cs="Arial"/>
          <w:sz w:val="28"/>
        </w:rPr>
        <w:t>s</w:t>
      </w:r>
    </w:p>
    <w:p w:rsidR="004672A6" w:rsidRPr="00E5722B" w:rsidRDefault="004672A6" w:rsidP="00F453B9">
      <w:pPr>
        <w:rPr>
          <w:rFonts w:ascii="Arial" w:hAnsi="Arial" w:cs="Arial"/>
        </w:rPr>
      </w:pPr>
    </w:p>
    <w:p w:rsidR="004672A6" w:rsidRPr="00E5722B" w:rsidRDefault="00E85CA8" w:rsidP="00F453B9">
      <w:pPr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AD3C17" w:rsidRPr="00C506C0">
        <w:rPr>
          <w:rFonts w:ascii="Arial" w:hAnsi="Arial" w:cs="Arial"/>
        </w:rPr>
        <w:t xml:space="preserve"> domestic 4G mobile phone shipments were </w:t>
      </w:r>
      <w:r>
        <w:rPr>
          <w:rFonts w:ascii="Arial" w:hAnsi="Arial" w:cs="Arial"/>
        </w:rPr>
        <w:t>39.7</w:t>
      </w:r>
      <w:r w:rsidR="00AD3C17" w:rsidRPr="00C506C0">
        <w:rPr>
          <w:rFonts w:ascii="Arial" w:hAnsi="Arial" w:cs="Arial"/>
        </w:rPr>
        <w:t xml:space="preserve"> million units, up </w:t>
      </w:r>
      <w:r w:rsidR="00522CB9">
        <w:rPr>
          <w:rFonts w:ascii="Arial" w:hAnsi="Arial" w:cs="Arial"/>
        </w:rPr>
        <w:t xml:space="preserve">4.7 </w:t>
      </w:r>
      <w:r w:rsidR="00AD3C17" w:rsidRPr="00C506C0">
        <w:rPr>
          <w:rFonts w:ascii="Arial" w:hAnsi="Arial" w:cs="Arial"/>
        </w:rPr>
        <w:t xml:space="preserve">percent year over year, and represented </w:t>
      </w:r>
      <w:r w:rsidR="00874AB6" w:rsidRPr="00C506C0">
        <w:rPr>
          <w:rFonts w:ascii="Arial" w:hAnsi="Arial" w:cs="Arial"/>
        </w:rPr>
        <w:t>9</w:t>
      </w:r>
      <w:r w:rsidR="00522CB9">
        <w:rPr>
          <w:rFonts w:ascii="Arial" w:hAnsi="Arial" w:cs="Arial"/>
        </w:rPr>
        <w:t>3.2</w:t>
      </w:r>
      <w:r w:rsidR="00C506C0" w:rsidRPr="00C506C0">
        <w:rPr>
          <w:rFonts w:ascii="Arial" w:hAnsi="Arial" w:cs="Arial"/>
        </w:rPr>
        <w:t xml:space="preserve"> percent</w:t>
      </w:r>
      <w:r w:rsidR="00AD3C17" w:rsidRPr="00C506C0">
        <w:rPr>
          <w:rFonts w:ascii="Arial" w:hAnsi="Arial" w:cs="Arial"/>
        </w:rPr>
        <w:t xml:space="preserve"> of the total shipments. </w:t>
      </w:r>
      <w:r w:rsidR="00522CB9">
        <w:rPr>
          <w:rFonts w:ascii="Arial" w:hAnsi="Arial" w:cs="Arial"/>
        </w:rPr>
        <w:t xml:space="preserve">153 </w:t>
      </w:r>
      <w:r w:rsidR="00AD3C17" w:rsidRPr="00C506C0">
        <w:rPr>
          <w:rFonts w:ascii="Arial" w:hAnsi="Arial" w:cs="Arial"/>
        </w:rPr>
        <w:t xml:space="preserve">new 4G models were released in the month, up </w:t>
      </w:r>
      <w:r w:rsidR="00522CB9">
        <w:rPr>
          <w:rFonts w:ascii="Arial" w:hAnsi="Arial" w:cs="Arial"/>
        </w:rPr>
        <w:t>45.7</w:t>
      </w:r>
      <w:r w:rsidR="00874AB6" w:rsidRPr="00C506C0">
        <w:rPr>
          <w:rFonts w:ascii="Arial" w:hAnsi="Arial" w:cs="Arial"/>
        </w:rPr>
        <w:t xml:space="preserve"> percent year over year</w:t>
      </w:r>
      <w:r w:rsidR="00AD3C17" w:rsidRPr="00C506C0">
        <w:rPr>
          <w:rFonts w:ascii="Arial" w:hAnsi="Arial" w:cs="Arial"/>
        </w:rPr>
        <w:t xml:space="preserve">, accounting for </w:t>
      </w:r>
      <w:r w:rsidR="00522CB9">
        <w:rPr>
          <w:rFonts w:ascii="Arial" w:hAnsi="Arial" w:cs="Arial"/>
        </w:rPr>
        <w:t xml:space="preserve">85.0 </w:t>
      </w:r>
      <w:r w:rsidR="00522CB9" w:rsidRPr="00C506C0">
        <w:rPr>
          <w:rFonts w:ascii="Arial" w:hAnsi="Arial" w:cs="Arial"/>
        </w:rPr>
        <w:t>percent</w:t>
      </w:r>
      <w:r w:rsidR="00AD3C17" w:rsidRPr="00C506C0">
        <w:rPr>
          <w:rFonts w:ascii="Arial" w:hAnsi="Arial" w:cs="Arial"/>
        </w:rPr>
        <w:t xml:space="preserve"> of the total new models this month.</w:t>
      </w:r>
    </w:p>
    <w:p w:rsidR="00F022B2" w:rsidRPr="00E5722B" w:rsidRDefault="00F022B2" w:rsidP="00F453B9">
      <w:pPr>
        <w:rPr>
          <w:rFonts w:ascii="Arial" w:hAnsi="Arial" w:cs="Arial"/>
        </w:rPr>
      </w:pPr>
    </w:p>
    <w:p w:rsidR="00F453B9" w:rsidRPr="00E5722B" w:rsidRDefault="00874AB6" w:rsidP="001932DC">
      <w:pPr>
        <w:rPr>
          <w:rFonts w:ascii="Arial" w:hAnsi="Arial" w:cs="Arial"/>
        </w:rPr>
      </w:pPr>
      <w:r w:rsidRPr="00C506C0">
        <w:rPr>
          <w:rFonts w:ascii="Arial" w:hAnsi="Arial" w:cs="Arial"/>
        </w:rPr>
        <w:t xml:space="preserve">YTD domestic 4G mobile phone shipments were </w:t>
      </w:r>
      <w:r w:rsidR="00522CB9">
        <w:rPr>
          <w:rFonts w:ascii="Arial" w:hAnsi="Arial" w:cs="Arial"/>
        </w:rPr>
        <w:t>144.3</w:t>
      </w:r>
      <w:r w:rsidRPr="00C506C0">
        <w:rPr>
          <w:rFonts w:ascii="Arial" w:hAnsi="Arial" w:cs="Arial"/>
        </w:rPr>
        <w:t xml:space="preserve"> million units, up </w:t>
      </w:r>
      <w:r w:rsidR="00522CB9">
        <w:rPr>
          <w:rFonts w:ascii="Arial" w:hAnsi="Arial" w:cs="Arial"/>
        </w:rPr>
        <w:t>16.2</w:t>
      </w:r>
      <w:r w:rsidR="00C506C0" w:rsidRPr="00C506C0">
        <w:rPr>
          <w:rFonts w:ascii="Arial" w:hAnsi="Arial" w:cs="Arial"/>
        </w:rPr>
        <w:t xml:space="preserve"> percent</w:t>
      </w:r>
      <w:r w:rsidRPr="00C506C0">
        <w:rPr>
          <w:rFonts w:ascii="Arial" w:hAnsi="Arial" w:cs="Arial"/>
        </w:rPr>
        <w:t xml:space="preserve"> year over year, and represented </w:t>
      </w:r>
      <w:r w:rsidR="00522CB9">
        <w:rPr>
          <w:rFonts w:ascii="Arial" w:hAnsi="Arial" w:cs="Arial"/>
        </w:rPr>
        <w:t>90.8</w:t>
      </w:r>
      <w:r w:rsidRPr="00C506C0">
        <w:rPr>
          <w:rFonts w:ascii="Arial" w:hAnsi="Arial" w:cs="Arial"/>
        </w:rPr>
        <w:t xml:space="preserve"> percent of the total shipments. YTD number of new model release reached </w:t>
      </w:r>
      <w:r w:rsidR="00522CB9">
        <w:rPr>
          <w:rFonts w:ascii="Arial" w:hAnsi="Arial" w:cs="Arial"/>
        </w:rPr>
        <w:t>425</w:t>
      </w:r>
      <w:r w:rsidRPr="00C506C0">
        <w:rPr>
          <w:rFonts w:ascii="Arial" w:hAnsi="Arial" w:cs="Arial"/>
        </w:rPr>
        <w:t xml:space="preserve">, </w:t>
      </w:r>
      <w:r w:rsidR="00C506C0" w:rsidRPr="00C506C0">
        <w:rPr>
          <w:rFonts w:ascii="Arial" w:hAnsi="Arial" w:cs="Arial"/>
        </w:rPr>
        <w:t>up</w:t>
      </w:r>
      <w:r w:rsidRPr="00C506C0">
        <w:rPr>
          <w:rFonts w:ascii="Arial" w:hAnsi="Arial" w:cs="Arial"/>
        </w:rPr>
        <w:t xml:space="preserve"> </w:t>
      </w:r>
      <w:r w:rsidR="00A14E54">
        <w:rPr>
          <w:rFonts w:ascii="Arial" w:hAnsi="Arial" w:cs="Arial"/>
        </w:rPr>
        <w:t>21.8</w:t>
      </w:r>
      <w:r w:rsidRPr="00C506C0">
        <w:rPr>
          <w:rFonts w:ascii="Arial" w:hAnsi="Arial" w:cs="Arial"/>
        </w:rPr>
        <w:t xml:space="preserve"> percent year over year, accounting for </w:t>
      </w:r>
      <w:r w:rsidR="00522CB9">
        <w:rPr>
          <w:rFonts w:ascii="Arial" w:hAnsi="Arial" w:cs="Arial"/>
        </w:rPr>
        <w:t>83.7</w:t>
      </w:r>
      <w:r w:rsidRPr="00C506C0">
        <w:rPr>
          <w:rFonts w:ascii="Arial" w:hAnsi="Arial" w:cs="Arial"/>
        </w:rPr>
        <w:t xml:space="preserve"> percent of the total new model release.</w:t>
      </w:r>
    </w:p>
    <w:p w:rsidR="001932DC" w:rsidRPr="00E5722B" w:rsidRDefault="001932DC" w:rsidP="001932DC">
      <w:pPr>
        <w:rPr>
          <w:rFonts w:ascii="Arial" w:hAnsi="Arial" w:cs="Arial"/>
        </w:rPr>
      </w:pPr>
    </w:p>
    <w:p w:rsidR="00F453B9" w:rsidRPr="00E5722B" w:rsidRDefault="00C506C0" w:rsidP="001932DC">
      <w:pPr>
        <w:rPr>
          <w:rFonts w:ascii="Arial" w:hAnsi="Arial" w:cs="Arial"/>
        </w:rPr>
      </w:pPr>
      <w:r w:rsidRPr="00C506C0">
        <w:rPr>
          <w:rFonts w:ascii="Arial" w:hAnsi="Arial" w:cs="Arial"/>
        </w:rPr>
        <w:t xml:space="preserve">Out of the total 4G mobile phone shipments this month, </w:t>
      </w:r>
      <w:r w:rsidR="00522CB9">
        <w:rPr>
          <w:rFonts w:ascii="Arial" w:hAnsi="Arial" w:cs="Arial"/>
        </w:rPr>
        <w:t>62.3</w:t>
      </w:r>
      <w:r w:rsidRPr="00C506C0">
        <w:rPr>
          <w:rFonts w:ascii="Arial" w:hAnsi="Arial" w:cs="Arial"/>
        </w:rPr>
        <w:t>%, 9</w:t>
      </w:r>
      <w:r w:rsidR="00522CB9">
        <w:rPr>
          <w:rFonts w:ascii="Arial" w:hAnsi="Arial" w:cs="Arial"/>
        </w:rPr>
        <w:t>4.3</w:t>
      </w:r>
      <w:r w:rsidRPr="00C506C0">
        <w:rPr>
          <w:rFonts w:ascii="Arial" w:hAnsi="Arial" w:cs="Arial"/>
        </w:rPr>
        <w:t>%,</w:t>
      </w:r>
      <w:r w:rsidR="00522CB9">
        <w:rPr>
          <w:rFonts w:ascii="Arial" w:hAnsi="Arial" w:cs="Arial"/>
        </w:rPr>
        <w:t>58.5</w:t>
      </w:r>
      <w:r w:rsidRPr="00C506C0">
        <w:rPr>
          <w:rFonts w:ascii="Arial" w:hAnsi="Arial" w:cs="Arial"/>
        </w:rPr>
        <w:t xml:space="preserve">% and </w:t>
      </w:r>
      <w:r w:rsidR="00522CB9">
        <w:rPr>
          <w:rFonts w:ascii="Arial" w:hAnsi="Arial" w:cs="Arial"/>
        </w:rPr>
        <w:t>48.0</w:t>
      </w:r>
      <w:r w:rsidRPr="00C506C0">
        <w:rPr>
          <w:rFonts w:ascii="Arial" w:hAnsi="Arial" w:cs="Arial"/>
        </w:rPr>
        <w:t>% of the 4G mobile phones shipped supported FDD LTE, TD-SCDMA, WCDMA and cdma2000 network, respectively.</w:t>
      </w: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3348C2" w:rsidRDefault="00924CF8" w:rsidP="003348C2">
      <w:pPr>
        <w:pStyle w:val="3"/>
        <w:rPr>
          <w:rFonts w:ascii="Arial" w:hAnsi="Arial" w:cs="Arial"/>
          <w:sz w:val="28"/>
        </w:rPr>
      </w:pPr>
      <w:r w:rsidRPr="003348C2">
        <w:rPr>
          <w:rFonts w:ascii="Arial" w:hAnsi="Arial" w:cs="Arial"/>
          <w:sz w:val="28"/>
        </w:rPr>
        <w:t>Part 3</w:t>
      </w:r>
      <w:r w:rsidR="003348C2">
        <w:rPr>
          <w:rFonts w:ascii="Arial" w:hAnsi="Arial" w:cs="Arial"/>
          <w:sz w:val="28"/>
        </w:rPr>
        <w:t>.</w:t>
      </w:r>
      <w:r w:rsidRPr="003348C2">
        <w:rPr>
          <w:rFonts w:ascii="Arial" w:hAnsi="Arial" w:cs="Arial"/>
          <w:sz w:val="28"/>
        </w:rPr>
        <w:t xml:space="preserve"> </w:t>
      </w:r>
      <w:r w:rsidR="00E5722B" w:rsidRPr="003348C2">
        <w:rPr>
          <w:rFonts w:ascii="Arial" w:hAnsi="Arial" w:cs="Arial"/>
          <w:sz w:val="28"/>
        </w:rPr>
        <w:t xml:space="preserve">Local and MNC </w:t>
      </w:r>
      <w:r w:rsidRPr="003348C2">
        <w:rPr>
          <w:rFonts w:ascii="Arial" w:hAnsi="Arial" w:cs="Arial"/>
          <w:sz w:val="28"/>
        </w:rPr>
        <w:t>Brands of Mobile Phones</w:t>
      </w:r>
      <w:bookmarkStart w:id="0" w:name="_GoBack"/>
      <w:bookmarkEnd w:id="0"/>
    </w:p>
    <w:p w:rsidR="007F2DDA" w:rsidRPr="00E5722B" w:rsidRDefault="007F2DDA" w:rsidP="00F453B9">
      <w:pPr>
        <w:rPr>
          <w:rFonts w:ascii="Arial" w:hAnsi="Arial" w:cs="Arial"/>
        </w:rPr>
      </w:pPr>
    </w:p>
    <w:p w:rsidR="00EE2A27" w:rsidRPr="00E5722B" w:rsidRDefault="00522CB9" w:rsidP="00F453B9">
      <w:pPr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FB1881" w:rsidRPr="00EB6466">
        <w:rPr>
          <w:rFonts w:ascii="Arial" w:hAnsi="Arial" w:cs="Arial"/>
        </w:rPr>
        <w:t xml:space="preserve"> mobile phone shipments </w:t>
      </w:r>
      <w:r>
        <w:rPr>
          <w:rFonts w:ascii="Arial" w:hAnsi="Arial" w:cs="Arial"/>
        </w:rPr>
        <w:t>by the local brands reached 38.2</w:t>
      </w:r>
      <w:r w:rsidR="00FB1881" w:rsidRPr="00EB6466">
        <w:rPr>
          <w:rFonts w:ascii="Arial" w:hAnsi="Arial" w:cs="Arial"/>
        </w:rPr>
        <w:t xml:space="preserve"> million units, up</w:t>
      </w:r>
      <w:r>
        <w:rPr>
          <w:rFonts w:ascii="Arial" w:hAnsi="Arial" w:cs="Arial"/>
        </w:rPr>
        <w:t xml:space="preserve"> 10.7 </w:t>
      </w:r>
      <w:r w:rsidR="00FB1881" w:rsidRPr="00EB6466">
        <w:rPr>
          <w:rFonts w:ascii="Arial" w:hAnsi="Arial" w:cs="Arial"/>
        </w:rPr>
        <w:t xml:space="preserve">percent year over year, accounting for </w:t>
      </w:r>
      <w:r>
        <w:rPr>
          <w:rFonts w:ascii="Arial" w:hAnsi="Arial" w:cs="Arial"/>
        </w:rPr>
        <w:t>89.9</w:t>
      </w:r>
      <w:r w:rsidR="00FB1881" w:rsidRPr="00EB6466">
        <w:rPr>
          <w:rFonts w:ascii="Arial" w:hAnsi="Arial" w:cs="Arial"/>
        </w:rPr>
        <w:t xml:space="preserve"> percent of the domestic mobile phone shipments. Number of new model release</w:t>
      </w:r>
      <w:r w:rsidR="001B6FCE" w:rsidRPr="00EB6466">
        <w:rPr>
          <w:rFonts w:ascii="Arial" w:hAnsi="Arial" w:cs="Arial"/>
        </w:rPr>
        <w:t>d</w:t>
      </w:r>
      <w:r w:rsidR="00FB1881" w:rsidRPr="00EB646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177</w:t>
      </w:r>
      <w:r w:rsidR="00FB1881" w:rsidRPr="00EB6466">
        <w:rPr>
          <w:rFonts w:ascii="Arial" w:hAnsi="Arial" w:cs="Arial"/>
        </w:rPr>
        <w:t xml:space="preserve"> units) by </w:t>
      </w:r>
      <w:r>
        <w:rPr>
          <w:rFonts w:ascii="Arial" w:hAnsi="Arial" w:cs="Arial"/>
        </w:rPr>
        <w:t>the local brands increased by 40</w:t>
      </w:r>
      <w:r w:rsidR="00FB1881" w:rsidRPr="00EB6466">
        <w:rPr>
          <w:rFonts w:ascii="Arial" w:hAnsi="Arial" w:cs="Arial"/>
        </w:rPr>
        <w:t>.5 percent year over year, and represented 9</w:t>
      </w:r>
      <w:r>
        <w:rPr>
          <w:rFonts w:ascii="Arial" w:hAnsi="Arial" w:cs="Arial"/>
        </w:rPr>
        <w:t>8.3</w:t>
      </w:r>
      <w:r w:rsidR="00FB1881" w:rsidRPr="00EB6466">
        <w:rPr>
          <w:rFonts w:ascii="Arial" w:hAnsi="Arial" w:cs="Arial"/>
        </w:rPr>
        <w:t xml:space="preserve"> percent of the total number of new model release in the month.</w:t>
      </w:r>
    </w:p>
    <w:p w:rsidR="00EE2A27" w:rsidRPr="00FB1881" w:rsidRDefault="00EE2A27" w:rsidP="00F453B9">
      <w:pPr>
        <w:rPr>
          <w:rFonts w:ascii="Arial" w:hAnsi="Arial" w:cs="Arial"/>
        </w:rPr>
      </w:pPr>
    </w:p>
    <w:p w:rsidR="00F453B9" w:rsidRPr="00E5722B" w:rsidRDefault="00FB1881" w:rsidP="00FB1881">
      <w:pPr>
        <w:rPr>
          <w:rFonts w:ascii="Arial" w:hAnsi="Arial" w:cs="Arial"/>
        </w:rPr>
      </w:pPr>
      <w:r w:rsidRPr="00EB6466">
        <w:rPr>
          <w:rFonts w:ascii="Arial" w:hAnsi="Arial" w:cs="Arial"/>
        </w:rPr>
        <w:t xml:space="preserve">YTD mobile phone shipments by the local brands reached </w:t>
      </w:r>
      <w:r w:rsidR="001B6FCE" w:rsidRPr="00EB6466">
        <w:rPr>
          <w:rFonts w:ascii="Arial" w:hAnsi="Arial" w:cs="Arial"/>
        </w:rPr>
        <w:t>1</w:t>
      </w:r>
      <w:r w:rsidR="00522CB9">
        <w:rPr>
          <w:rFonts w:ascii="Arial" w:hAnsi="Arial" w:cs="Arial"/>
        </w:rPr>
        <w:t>38.9</w:t>
      </w:r>
      <w:r w:rsidRPr="00EB6466">
        <w:rPr>
          <w:rFonts w:ascii="Arial" w:hAnsi="Arial" w:cs="Arial"/>
        </w:rPr>
        <w:t xml:space="preserve"> million units, up </w:t>
      </w:r>
      <w:r w:rsidR="001B6FCE" w:rsidRPr="00EB6466">
        <w:rPr>
          <w:rFonts w:ascii="Arial" w:hAnsi="Arial" w:cs="Arial"/>
        </w:rPr>
        <w:t>1</w:t>
      </w:r>
      <w:r w:rsidR="00522CB9">
        <w:rPr>
          <w:rFonts w:ascii="Arial" w:hAnsi="Arial" w:cs="Arial"/>
        </w:rPr>
        <w:t>4.2</w:t>
      </w:r>
      <w:r w:rsidRPr="00EB6466">
        <w:rPr>
          <w:rFonts w:ascii="Arial" w:hAnsi="Arial" w:cs="Arial"/>
        </w:rPr>
        <w:t xml:space="preserve"> percent year over year, and accounted for </w:t>
      </w:r>
      <w:r w:rsidR="00522CB9">
        <w:rPr>
          <w:rFonts w:ascii="Arial" w:hAnsi="Arial" w:cs="Arial"/>
        </w:rPr>
        <w:t>87.5</w:t>
      </w:r>
      <w:r w:rsidRPr="00EB6466">
        <w:rPr>
          <w:rFonts w:ascii="Arial" w:hAnsi="Arial" w:cs="Arial"/>
        </w:rPr>
        <w:t xml:space="preserve"> percent of the domestic mobile phone shipments. Number of </w:t>
      </w:r>
      <w:r w:rsidR="001B6FCE" w:rsidRPr="00EB6466">
        <w:rPr>
          <w:rFonts w:ascii="Arial" w:hAnsi="Arial" w:cs="Arial"/>
        </w:rPr>
        <w:t xml:space="preserve">new </w:t>
      </w:r>
      <w:r w:rsidRPr="00EB6466">
        <w:rPr>
          <w:rFonts w:ascii="Arial" w:hAnsi="Arial" w:cs="Arial"/>
        </w:rPr>
        <w:t>models released by the local brands (</w:t>
      </w:r>
      <w:r w:rsidR="00522CB9">
        <w:rPr>
          <w:rFonts w:ascii="Arial" w:hAnsi="Arial" w:cs="Arial"/>
        </w:rPr>
        <w:t>485</w:t>
      </w:r>
      <w:r w:rsidRPr="00EB6466">
        <w:rPr>
          <w:rFonts w:ascii="Arial" w:hAnsi="Arial" w:cs="Arial"/>
        </w:rPr>
        <w:t xml:space="preserve"> units) </w:t>
      </w:r>
      <w:r w:rsidR="00A14E54">
        <w:rPr>
          <w:rFonts w:ascii="Arial" w:hAnsi="Arial" w:cs="Arial"/>
        </w:rPr>
        <w:t>increase</w:t>
      </w:r>
      <w:r w:rsidRPr="00EB6466">
        <w:rPr>
          <w:rFonts w:ascii="Arial" w:hAnsi="Arial" w:cs="Arial"/>
        </w:rPr>
        <w:t xml:space="preserve"> by </w:t>
      </w:r>
      <w:r w:rsidR="00522CB9">
        <w:rPr>
          <w:rFonts w:ascii="Arial" w:hAnsi="Arial" w:cs="Arial"/>
        </w:rPr>
        <w:t xml:space="preserve">3.0 </w:t>
      </w:r>
      <w:r w:rsidRPr="00EB6466">
        <w:rPr>
          <w:rFonts w:ascii="Arial" w:hAnsi="Arial" w:cs="Arial"/>
        </w:rPr>
        <w:t>percent year over year, representing</w:t>
      </w:r>
      <w:r w:rsidR="00522CB9">
        <w:rPr>
          <w:rFonts w:ascii="Arial" w:hAnsi="Arial" w:cs="Arial"/>
        </w:rPr>
        <w:t xml:space="preserve"> 95.5 </w:t>
      </w:r>
      <w:r w:rsidR="00522CB9" w:rsidRPr="00C506C0">
        <w:rPr>
          <w:rFonts w:ascii="Arial" w:hAnsi="Arial" w:cs="Arial"/>
        </w:rPr>
        <w:t>percent</w:t>
      </w:r>
      <w:r w:rsidRPr="00EB6466">
        <w:rPr>
          <w:rFonts w:ascii="Arial" w:hAnsi="Arial" w:cs="Arial"/>
        </w:rPr>
        <w:t xml:space="preserve"> of the total number of </w:t>
      </w:r>
      <w:r w:rsidR="001B6FCE" w:rsidRPr="00EB6466">
        <w:rPr>
          <w:rFonts w:ascii="Arial" w:hAnsi="Arial" w:cs="Arial"/>
        </w:rPr>
        <w:t xml:space="preserve">new </w:t>
      </w:r>
      <w:r w:rsidRPr="00EB6466">
        <w:rPr>
          <w:rFonts w:ascii="Arial" w:hAnsi="Arial" w:cs="Arial"/>
        </w:rPr>
        <w:t>model release in the domestic market in the month.</w:t>
      </w:r>
    </w:p>
    <w:p w:rsidR="00EE2A27" w:rsidRPr="00FB1881" w:rsidRDefault="00EE2A27" w:rsidP="00F453B9">
      <w:pPr>
        <w:rPr>
          <w:rFonts w:ascii="Arial" w:hAnsi="Arial" w:cs="Arial"/>
        </w:rPr>
      </w:pPr>
    </w:p>
    <w:p w:rsidR="00F453B9" w:rsidRPr="003348C2" w:rsidRDefault="00EE2A27" w:rsidP="003348C2">
      <w:pPr>
        <w:jc w:val="left"/>
        <w:rPr>
          <w:rFonts w:ascii="Arial" w:hAnsi="Arial" w:cs="Arial"/>
          <w:b/>
        </w:rPr>
      </w:pPr>
      <w:r w:rsidRPr="003348C2">
        <w:rPr>
          <w:rFonts w:ascii="Arial" w:hAnsi="Arial" w:cs="Arial"/>
          <w:b/>
        </w:rPr>
        <w:t>Chart</w:t>
      </w:r>
      <w:r w:rsidR="00F453B9" w:rsidRPr="003348C2">
        <w:rPr>
          <w:rFonts w:ascii="Arial" w:hAnsi="Arial" w:cs="Arial"/>
          <w:b/>
        </w:rPr>
        <w:t xml:space="preserve"> 2: </w:t>
      </w:r>
      <w:r w:rsidR="00522CB9">
        <w:rPr>
          <w:rFonts w:ascii="Arial" w:hAnsi="Arial" w:cs="Arial"/>
          <w:b/>
        </w:rPr>
        <w:t>April</w:t>
      </w:r>
      <w:r w:rsidR="00FB1881" w:rsidRPr="00FB1881">
        <w:rPr>
          <w:rFonts w:ascii="Arial" w:hAnsi="Arial" w:cs="Arial"/>
          <w:b/>
        </w:rPr>
        <w:t xml:space="preserve"> mobile phone shipments by local and MNC brands</w:t>
      </w:r>
    </w:p>
    <w:p w:rsidR="00F453B9" w:rsidRPr="00E5722B" w:rsidRDefault="00E5722B" w:rsidP="00E5722B">
      <w:pPr>
        <w:jc w:val="center"/>
        <w:rPr>
          <w:rFonts w:ascii="Arial" w:hAnsi="Arial" w:cs="Arial"/>
        </w:rPr>
      </w:pPr>
      <w:r w:rsidRPr="00E5722B">
        <w:rPr>
          <w:rFonts w:ascii="Arial" w:hAnsi="Arial" w:cs="Arial"/>
          <w:noProof/>
        </w:rPr>
        <w:drawing>
          <wp:inline distT="0" distB="0" distL="0" distR="0" wp14:anchorId="0B92E055" wp14:editId="1CB4D1C8">
            <wp:extent cx="4210050" cy="25146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53B9" w:rsidRPr="00E5722B" w:rsidRDefault="00F453B9" w:rsidP="00F453B9">
      <w:pPr>
        <w:rPr>
          <w:rFonts w:ascii="Arial" w:hAnsi="Arial" w:cs="Arial"/>
        </w:rPr>
      </w:pPr>
    </w:p>
    <w:p w:rsidR="00F453B9" w:rsidRPr="003348C2" w:rsidRDefault="00924CF8" w:rsidP="003348C2">
      <w:pPr>
        <w:pStyle w:val="3"/>
        <w:rPr>
          <w:rFonts w:ascii="Arial" w:hAnsi="Arial" w:cs="Arial"/>
          <w:sz w:val="28"/>
        </w:rPr>
      </w:pPr>
      <w:r w:rsidRPr="003348C2">
        <w:rPr>
          <w:rFonts w:ascii="Arial" w:hAnsi="Arial" w:cs="Arial"/>
          <w:sz w:val="28"/>
        </w:rPr>
        <w:t>Part 4</w:t>
      </w:r>
      <w:r w:rsidR="003348C2">
        <w:rPr>
          <w:rFonts w:ascii="Arial" w:hAnsi="Arial" w:cs="Arial"/>
          <w:sz w:val="28"/>
        </w:rPr>
        <w:t>.</w:t>
      </w:r>
      <w:r w:rsidR="00F453B9" w:rsidRPr="003348C2">
        <w:rPr>
          <w:rFonts w:ascii="Arial" w:hAnsi="Arial" w:cs="Arial"/>
          <w:sz w:val="28"/>
        </w:rPr>
        <w:t xml:space="preserve"> </w:t>
      </w:r>
      <w:r w:rsidRPr="003348C2">
        <w:rPr>
          <w:rFonts w:ascii="Arial" w:hAnsi="Arial" w:cs="Arial"/>
          <w:sz w:val="28"/>
        </w:rPr>
        <w:t>D</w:t>
      </w:r>
      <w:r w:rsidR="00F453B9" w:rsidRPr="003348C2">
        <w:rPr>
          <w:rFonts w:ascii="Arial" w:hAnsi="Arial" w:cs="Arial"/>
          <w:sz w:val="28"/>
        </w:rPr>
        <w:t xml:space="preserve">evelopment of </w:t>
      </w:r>
      <w:r w:rsidRPr="003348C2">
        <w:rPr>
          <w:rFonts w:ascii="Arial" w:hAnsi="Arial" w:cs="Arial"/>
          <w:sz w:val="28"/>
        </w:rPr>
        <w:t>S</w:t>
      </w:r>
      <w:r w:rsidR="00F453B9" w:rsidRPr="003348C2">
        <w:rPr>
          <w:rFonts w:ascii="Arial" w:hAnsi="Arial" w:cs="Arial"/>
          <w:sz w:val="28"/>
        </w:rPr>
        <w:t xml:space="preserve">mart </w:t>
      </w:r>
      <w:r w:rsidRPr="003348C2">
        <w:rPr>
          <w:rFonts w:ascii="Arial" w:hAnsi="Arial" w:cs="Arial"/>
          <w:sz w:val="28"/>
        </w:rPr>
        <w:t>P</w:t>
      </w:r>
      <w:r w:rsidR="00F453B9" w:rsidRPr="003348C2">
        <w:rPr>
          <w:rFonts w:ascii="Arial" w:hAnsi="Arial" w:cs="Arial"/>
          <w:sz w:val="28"/>
        </w:rPr>
        <w:t>hones</w:t>
      </w:r>
    </w:p>
    <w:p w:rsidR="006234E9" w:rsidRPr="00E5722B" w:rsidRDefault="006234E9" w:rsidP="00F453B9">
      <w:pPr>
        <w:rPr>
          <w:rFonts w:ascii="Arial" w:hAnsi="Arial" w:cs="Arial"/>
        </w:rPr>
      </w:pPr>
    </w:p>
    <w:p w:rsidR="006234E9" w:rsidRPr="00E5722B" w:rsidRDefault="00894F8F" w:rsidP="00F453B9">
      <w:pPr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1B6FCE" w:rsidRPr="00EB6466">
        <w:rPr>
          <w:rFonts w:ascii="Arial" w:hAnsi="Arial" w:cs="Arial"/>
        </w:rPr>
        <w:t xml:space="preserve"> smart phone shipments were </w:t>
      </w:r>
      <w:r>
        <w:rPr>
          <w:rFonts w:ascii="Arial" w:hAnsi="Arial" w:cs="Arial"/>
        </w:rPr>
        <w:t xml:space="preserve">39.9 </w:t>
      </w:r>
      <w:r w:rsidR="001B6FCE" w:rsidRPr="00EB6466">
        <w:rPr>
          <w:rFonts w:ascii="Arial" w:hAnsi="Arial" w:cs="Arial"/>
        </w:rPr>
        <w:t xml:space="preserve">million units, </w:t>
      </w:r>
      <w:r>
        <w:rPr>
          <w:rFonts w:ascii="Arial" w:hAnsi="Arial" w:cs="Arial"/>
        </w:rPr>
        <w:t>down 0.5</w:t>
      </w:r>
      <w:r w:rsidR="001B6FCE" w:rsidRPr="00EB6466">
        <w:rPr>
          <w:rFonts w:ascii="Arial" w:hAnsi="Arial" w:cs="Arial"/>
        </w:rPr>
        <w:t xml:space="preserve"> percent year o</w:t>
      </w:r>
      <w:r>
        <w:rPr>
          <w:rFonts w:ascii="Arial" w:hAnsi="Arial" w:cs="Arial"/>
        </w:rPr>
        <w:t>ver year, and accounted for 93.8</w:t>
      </w:r>
      <w:r w:rsidR="001B6FCE" w:rsidRPr="00EB6466">
        <w:rPr>
          <w:rFonts w:ascii="Arial" w:hAnsi="Arial" w:cs="Arial"/>
        </w:rPr>
        <w:t xml:space="preserve"> percent of the domestic mobile phone shipments in the month.</w:t>
      </w:r>
      <w:r w:rsidR="002C1579" w:rsidRPr="00EB6466">
        <w:rPr>
          <w:rFonts w:ascii="Arial" w:hAnsi="Arial" w:cs="Arial"/>
        </w:rPr>
        <w:t xml:space="preserve"> </w:t>
      </w:r>
      <w:r w:rsidR="001B6FCE" w:rsidRPr="00EB6466">
        <w:rPr>
          <w:rFonts w:ascii="Arial" w:hAnsi="Arial" w:cs="Arial"/>
        </w:rPr>
        <w:t xml:space="preserve">Of the </w:t>
      </w:r>
      <w:r w:rsidR="001B6FCE" w:rsidRPr="00EB6466">
        <w:rPr>
          <w:rFonts w:ascii="Arial" w:hAnsi="Arial" w:cs="Arial"/>
        </w:rPr>
        <w:lastRenderedPageBreak/>
        <w:t>total smart</w:t>
      </w:r>
      <w:r w:rsidR="002C1579" w:rsidRPr="00EB6466">
        <w:rPr>
          <w:rFonts w:ascii="Arial" w:hAnsi="Arial" w:cs="Arial"/>
        </w:rPr>
        <w:t xml:space="preserve"> </w:t>
      </w:r>
      <w:r w:rsidR="00281620">
        <w:rPr>
          <w:rFonts w:ascii="Arial" w:hAnsi="Arial" w:cs="Arial"/>
        </w:rPr>
        <w:t>phones shipments</w:t>
      </w:r>
      <w:r w:rsidR="001B6FCE" w:rsidRPr="00EB646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33.2</w:t>
      </w:r>
      <w:r w:rsidR="001B6FCE" w:rsidRPr="00EB6466">
        <w:rPr>
          <w:rFonts w:ascii="Arial" w:hAnsi="Arial" w:cs="Arial"/>
        </w:rPr>
        <w:t xml:space="preserve"> million units were Android-based.</w:t>
      </w:r>
    </w:p>
    <w:p w:rsidR="006234E9" w:rsidRPr="00E5722B" w:rsidRDefault="006234E9" w:rsidP="00F453B9">
      <w:pPr>
        <w:rPr>
          <w:rFonts w:ascii="Arial" w:hAnsi="Arial" w:cs="Arial"/>
        </w:rPr>
      </w:pPr>
    </w:p>
    <w:p w:rsidR="006234E9" w:rsidRPr="00E5722B" w:rsidRDefault="002C1579" w:rsidP="002C1579">
      <w:pPr>
        <w:rPr>
          <w:rFonts w:ascii="Arial" w:hAnsi="Arial" w:cs="Arial"/>
        </w:rPr>
      </w:pPr>
      <w:r w:rsidRPr="00EB6466">
        <w:rPr>
          <w:rFonts w:ascii="Arial" w:hAnsi="Arial" w:cs="Arial"/>
        </w:rPr>
        <w:t xml:space="preserve">YTD smart phone shipments were </w:t>
      </w:r>
      <w:r w:rsidR="00894F8F">
        <w:rPr>
          <w:rFonts w:ascii="Arial" w:hAnsi="Arial" w:cs="Arial"/>
        </w:rPr>
        <w:t>145.5</w:t>
      </w:r>
      <w:r w:rsidRPr="00EB6466">
        <w:rPr>
          <w:rFonts w:ascii="Arial" w:hAnsi="Arial" w:cs="Arial"/>
        </w:rPr>
        <w:t xml:space="preserve"> million units, up </w:t>
      </w:r>
      <w:r w:rsidR="00894F8F">
        <w:rPr>
          <w:rFonts w:ascii="Arial" w:hAnsi="Arial" w:cs="Arial"/>
        </w:rPr>
        <w:t>8.2</w:t>
      </w:r>
      <w:r w:rsidRPr="00EB6466">
        <w:rPr>
          <w:rFonts w:ascii="Arial" w:hAnsi="Arial" w:cs="Arial"/>
        </w:rPr>
        <w:t xml:space="preserve"> percent year over year, and represented </w:t>
      </w:r>
      <w:r w:rsidR="00894F8F">
        <w:rPr>
          <w:rFonts w:ascii="Arial" w:hAnsi="Arial" w:cs="Arial"/>
        </w:rPr>
        <w:t xml:space="preserve">91.6 </w:t>
      </w:r>
      <w:r w:rsidRPr="00EB6466">
        <w:rPr>
          <w:rFonts w:ascii="Arial" w:hAnsi="Arial" w:cs="Arial"/>
        </w:rPr>
        <w:t>percent of the YTD domestic mobile phone shipments.</w:t>
      </w:r>
      <w:r w:rsidR="00390D75" w:rsidRPr="00EB6466">
        <w:rPr>
          <w:rFonts w:ascii="Arial" w:hAnsi="Arial" w:cs="Arial"/>
        </w:rPr>
        <w:t xml:space="preserve"> Of the total smart phones shipments, </w:t>
      </w:r>
      <w:r w:rsidR="00894F8F">
        <w:rPr>
          <w:rFonts w:ascii="Arial" w:hAnsi="Arial" w:cs="Arial"/>
        </w:rPr>
        <w:t>122.7</w:t>
      </w:r>
      <w:r w:rsidR="00390D75" w:rsidRPr="00EB6466">
        <w:rPr>
          <w:rFonts w:ascii="Arial" w:hAnsi="Arial" w:cs="Arial"/>
        </w:rPr>
        <w:t xml:space="preserve"> million units were Android-based.</w:t>
      </w:r>
    </w:p>
    <w:p w:rsidR="00F9329E" w:rsidRPr="002C1579" w:rsidRDefault="00F9329E" w:rsidP="00F453B9">
      <w:pPr>
        <w:rPr>
          <w:rFonts w:ascii="Arial" w:hAnsi="Arial" w:cs="Arial"/>
        </w:rPr>
      </w:pPr>
    </w:p>
    <w:p w:rsidR="00F9329E" w:rsidRPr="00E5722B" w:rsidRDefault="00390D75" w:rsidP="00390D75">
      <w:pPr>
        <w:rPr>
          <w:rFonts w:ascii="Arial" w:hAnsi="Arial" w:cs="Arial"/>
        </w:rPr>
      </w:pPr>
      <w:r w:rsidRPr="00EB6466">
        <w:rPr>
          <w:rFonts w:ascii="Arial" w:hAnsi="Arial" w:cs="Arial"/>
        </w:rPr>
        <w:t xml:space="preserve">In </w:t>
      </w:r>
      <w:r w:rsidR="00894F8F">
        <w:rPr>
          <w:rFonts w:ascii="Arial" w:hAnsi="Arial" w:cs="Arial"/>
        </w:rPr>
        <w:t>April</w:t>
      </w:r>
      <w:r w:rsidRPr="00EB6466">
        <w:rPr>
          <w:rFonts w:ascii="Arial" w:hAnsi="Arial" w:cs="Arial"/>
        </w:rPr>
        <w:t xml:space="preserve">, </w:t>
      </w:r>
      <w:r w:rsidR="00894F8F">
        <w:rPr>
          <w:rFonts w:ascii="Arial" w:hAnsi="Arial" w:cs="Arial"/>
        </w:rPr>
        <w:t>154</w:t>
      </w:r>
      <w:r w:rsidRPr="00EB6466">
        <w:rPr>
          <w:rFonts w:ascii="Arial" w:hAnsi="Arial" w:cs="Arial"/>
        </w:rPr>
        <w:t xml:space="preserve"> new smart phone models were released, including 112 Android smart phones. Number of new smart phone released in the month was up by </w:t>
      </w:r>
      <w:r w:rsidR="00894F8F">
        <w:rPr>
          <w:rFonts w:ascii="Arial" w:hAnsi="Arial" w:cs="Arial" w:hint="eastAsia"/>
        </w:rPr>
        <w:t>40.0</w:t>
      </w:r>
      <w:r w:rsidRPr="00EB6466">
        <w:rPr>
          <w:rFonts w:ascii="Arial" w:hAnsi="Arial" w:cs="Arial"/>
        </w:rPr>
        <w:t xml:space="preserve"> percent year over year, and accounted for 8</w:t>
      </w:r>
      <w:r w:rsidR="00894F8F">
        <w:rPr>
          <w:rFonts w:ascii="Arial" w:hAnsi="Arial" w:cs="Arial"/>
        </w:rPr>
        <w:t>5.6</w:t>
      </w:r>
      <w:r w:rsidRPr="00EB6466">
        <w:rPr>
          <w:rFonts w:ascii="Arial" w:hAnsi="Arial" w:cs="Arial"/>
        </w:rPr>
        <w:t xml:space="preserve"> percent of the number of new release.</w:t>
      </w:r>
    </w:p>
    <w:p w:rsidR="00F9329E" w:rsidRDefault="00F9329E" w:rsidP="00F453B9">
      <w:pPr>
        <w:rPr>
          <w:rFonts w:ascii="Arial" w:hAnsi="Arial" w:cs="Arial"/>
        </w:rPr>
      </w:pPr>
    </w:p>
    <w:p w:rsidR="00382B14" w:rsidRPr="00E5722B" w:rsidRDefault="00EB6466" w:rsidP="00EB6466">
      <w:pPr>
        <w:rPr>
          <w:rFonts w:ascii="Arial" w:hAnsi="Arial" w:cs="Arial"/>
        </w:rPr>
      </w:pPr>
      <w:r w:rsidRPr="00AD3C17">
        <w:rPr>
          <w:rFonts w:ascii="Arial" w:hAnsi="Arial" w:cs="Arial"/>
        </w:rPr>
        <w:t xml:space="preserve">YTD number of new model release reached </w:t>
      </w:r>
      <w:r w:rsidR="00894F8F">
        <w:rPr>
          <w:rFonts w:ascii="Arial" w:hAnsi="Arial" w:cs="Arial"/>
        </w:rPr>
        <w:t>428</w:t>
      </w:r>
      <w:r w:rsidRPr="00AD3C17">
        <w:rPr>
          <w:rFonts w:ascii="Arial" w:hAnsi="Arial" w:cs="Arial"/>
        </w:rPr>
        <w:t>,</w:t>
      </w:r>
      <w:r w:rsidRPr="00EB6466">
        <w:rPr>
          <w:rFonts w:ascii="Arial" w:hAnsi="Arial" w:cs="Arial"/>
        </w:rPr>
        <w:t xml:space="preserve"> including </w:t>
      </w:r>
      <w:r w:rsidR="00894F8F">
        <w:rPr>
          <w:rFonts w:ascii="Arial" w:hAnsi="Arial" w:cs="Arial"/>
        </w:rPr>
        <w:t xml:space="preserve">318 </w:t>
      </w:r>
      <w:r w:rsidRPr="00EB6466">
        <w:rPr>
          <w:rFonts w:ascii="Arial" w:hAnsi="Arial" w:cs="Arial"/>
        </w:rPr>
        <w:t>Android smart phones,</w:t>
      </w:r>
      <w:r w:rsidRPr="00AD3C17">
        <w:rPr>
          <w:rFonts w:ascii="Arial" w:hAnsi="Arial" w:cs="Arial"/>
        </w:rPr>
        <w:t xml:space="preserve"> up</w:t>
      </w:r>
      <w:r>
        <w:rPr>
          <w:rFonts w:ascii="Arial" w:hAnsi="Arial" w:cs="Arial"/>
        </w:rPr>
        <w:t xml:space="preserve"> </w:t>
      </w:r>
      <w:r w:rsidR="00894F8F">
        <w:rPr>
          <w:rFonts w:ascii="Arial" w:hAnsi="Arial" w:cs="Arial"/>
        </w:rPr>
        <w:t>11.7</w:t>
      </w:r>
      <w:r w:rsidRPr="00AD3C17">
        <w:rPr>
          <w:rFonts w:ascii="Arial" w:hAnsi="Arial" w:cs="Arial"/>
        </w:rPr>
        <w:t xml:space="preserve"> percent year over year,</w:t>
      </w:r>
      <w:r w:rsidRPr="00EB6466">
        <w:rPr>
          <w:rFonts w:ascii="Arial" w:hAnsi="Arial" w:cs="Arial"/>
        </w:rPr>
        <w:t xml:space="preserve"> and represented 8</w:t>
      </w:r>
      <w:r w:rsidR="00894F8F">
        <w:rPr>
          <w:rFonts w:ascii="Arial" w:hAnsi="Arial" w:cs="Arial"/>
        </w:rPr>
        <w:t>4.3</w:t>
      </w:r>
      <w:r w:rsidRPr="00EB6466">
        <w:rPr>
          <w:rFonts w:ascii="Arial" w:hAnsi="Arial" w:cs="Arial"/>
        </w:rPr>
        <w:t xml:space="preserve"> percent of the YTD total number of new model release.</w:t>
      </w:r>
    </w:p>
    <w:sectPr w:rsidR="00382B14" w:rsidRPr="00E5722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2A" w:rsidRDefault="0065432A" w:rsidP="00F453B9">
      <w:r>
        <w:separator/>
      </w:r>
    </w:p>
  </w:endnote>
  <w:endnote w:type="continuationSeparator" w:id="0">
    <w:p w:rsidR="0065432A" w:rsidRDefault="0065432A" w:rsidP="00F4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766178"/>
      <w:docPartObj>
        <w:docPartGallery w:val="Page Numbers (Bottom of Page)"/>
        <w:docPartUnique/>
      </w:docPartObj>
    </w:sdtPr>
    <w:sdtEndPr/>
    <w:sdtContent>
      <w:p w:rsidR="003348C2" w:rsidRDefault="003348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E54" w:rsidRPr="00A14E54">
          <w:rPr>
            <w:noProof/>
            <w:lang w:val="zh-CN"/>
          </w:rPr>
          <w:t>3</w:t>
        </w:r>
        <w:r>
          <w:fldChar w:fldCharType="end"/>
        </w:r>
      </w:p>
    </w:sdtContent>
  </w:sdt>
  <w:p w:rsidR="003348C2" w:rsidRDefault="003348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2A" w:rsidRDefault="0065432A" w:rsidP="00F453B9">
      <w:r>
        <w:separator/>
      </w:r>
    </w:p>
  </w:footnote>
  <w:footnote w:type="continuationSeparator" w:id="0">
    <w:p w:rsidR="0065432A" w:rsidRDefault="0065432A" w:rsidP="00F45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9F"/>
    <w:rsid w:val="0000117B"/>
    <w:rsid w:val="001932DC"/>
    <w:rsid w:val="001B6FCE"/>
    <w:rsid w:val="00281620"/>
    <w:rsid w:val="002C1579"/>
    <w:rsid w:val="003348C2"/>
    <w:rsid w:val="00382B14"/>
    <w:rsid w:val="00390D75"/>
    <w:rsid w:val="0043000B"/>
    <w:rsid w:val="004561BD"/>
    <w:rsid w:val="004672A6"/>
    <w:rsid w:val="004B5283"/>
    <w:rsid w:val="00522CB9"/>
    <w:rsid w:val="005410E7"/>
    <w:rsid w:val="006234E9"/>
    <w:rsid w:val="00636091"/>
    <w:rsid w:val="00653554"/>
    <w:rsid w:val="0065432A"/>
    <w:rsid w:val="00662571"/>
    <w:rsid w:val="006B37E3"/>
    <w:rsid w:val="006C4765"/>
    <w:rsid w:val="006D0A0E"/>
    <w:rsid w:val="007029C7"/>
    <w:rsid w:val="0073099A"/>
    <w:rsid w:val="007F18E6"/>
    <w:rsid w:val="007F2DDA"/>
    <w:rsid w:val="008023E9"/>
    <w:rsid w:val="00874AB6"/>
    <w:rsid w:val="00894F8F"/>
    <w:rsid w:val="00924CF8"/>
    <w:rsid w:val="00A14E54"/>
    <w:rsid w:val="00A22B59"/>
    <w:rsid w:val="00A605EA"/>
    <w:rsid w:val="00AD39A7"/>
    <w:rsid w:val="00AD3C17"/>
    <w:rsid w:val="00B45FE7"/>
    <w:rsid w:val="00B727F4"/>
    <w:rsid w:val="00BE6C35"/>
    <w:rsid w:val="00BF289F"/>
    <w:rsid w:val="00C506C0"/>
    <w:rsid w:val="00DA26CD"/>
    <w:rsid w:val="00E5722B"/>
    <w:rsid w:val="00E85CA8"/>
    <w:rsid w:val="00EB6466"/>
    <w:rsid w:val="00EE2A27"/>
    <w:rsid w:val="00EE4529"/>
    <w:rsid w:val="00F022B2"/>
    <w:rsid w:val="00F453B9"/>
    <w:rsid w:val="00F9329E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9CE6D3-90FE-4C35-8FFB-BF4E1D1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572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572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3B9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B727F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B727F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E5722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5722B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Shipments(Unit: Million)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7.2202166064981952E-3"/>
                  <c:y val="7.90464525267674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F53-4F7E-BB14-1D0F1BE5961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Sheet1!$B$2:$B$14</c:f>
              <c:numCache>
                <c:formatCode>0</c:formatCode>
                <c:ptCount val="13"/>
                <c:pt idx="0">
                  <c:v>45.200627999999995</c:v>
                </c:pt>
                <c:pt idx="1">
                  <c:v>44.325528999999996</c:v>
                </c:pt>
                <c:pt idx="2">
                  <c:v>38.119751000000001</c:v>
                </c:pt>
                <c:pt idx="3">
                  <c:v>44.915084999999998</c:v>
                </c:pt>
                <c:pt idx="4">
                  <c:v>47.384367000000005</c:v>
                </c:pt>
                <c:pt idx="5">
                  <c:v>42.203454000000001</c:v>
                </c:pt>
                <c:pt idx="6">
                  <c:v>37.205863999999998</c:v>
                </c:pt>
                <c:pt idx="7">
                  <c:v>53.221680999999997</c:v>
                </c:pt>
                <c:pt idx="8">
                  <c:v>56.474623000000001</c:v>
                </c:pt>
                <c:pt idx="9">
                  <c:v>49.400216</c:v>
                </c:pt>
                <c:pt idx="10">
                  <c:v>22.223084</c:v>
                </c:pt>
                <c:pt idx="11">
                  <c:v>44.683647000000001</c:v>
                </c:pt>
                <c:pt idx="12">
                  <c:v>42.5488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92-4514-9C99-37FBBBCA2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63398160"/>
        <c:axId val="46339704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2G Share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Sheet1!$C$2:$C$14</c:f>
              <c:numCache>
                <c:formatCode>0%</c:formatCode>
                <c:ptCount val="13"/>
                <c:pt idx="0">
                  <c:v>0.10763292934779579</c:v>
                </c:pt>
                <c:pt idx="1">
                  <c:v>0.10487518377953256</c:v>
                </c:pt>
                <c:pt idx="2">
                  <c:v>0.1110106149434187</c:v>
                </c:pt>
                <c:pt idx="3">
                  <c:v>0.10786336038326545</c:v>
                </c:pt>
                <c:pt idx="4">
                  <c:v>0.11336375982399427</c:v>
                </c:pt>
                <c:pt idx="5">
                  <c:v>0.11273006233091727</c:v>
                </c:pt>
                <c:pt idx="6">
                  <c:v>0.10863419271757807</c:v>
                </c:pt>
                <c:pt idx="7">
                  <c:v>0.11197953330335432</c:v>
                </c:pt>
                <c:pt idx="8">
                  <c:v>8.9395603402257329E-2</c:v>
                </c:pt>
                <c:pt idx="9">
                  <c:v>9.3621291048605934E-2</c:v>
                </c:pt>
                <c:pt idx="10">
                  <c:v>7.3485300240056686E-2</c:v>
                </c:pt>
                <c:pt idx="11">
                  <c:v>8.6597340633364148E-2</c:v>
                </c:pt>
                <c:pt idx="12">
                  <c:v>6.1274560034595561E-2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092-4514-9C99-37FBBBCA2FB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3G Share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Sheet1!$D$2:$D$14</c:f>
              <c:numCache>
                <c:formatCode>0%</c:formatCode>
                <c:ptCount val="13"/>
                <c:pt idx="0">
                  <c:v>5.4071394760267497E-2</c:v>
                </c:pt>
                <c:pt idx="1">
                  <c:v>3.8529308922630116E-2</c:v>
                </c:pt>
                <c:pt idx="2">
                  <c:v>3.5984154251164968E-2</c:v>
                </c:pt>
                <c:pt idx="3">
                  <c:v>2.3053835921717614E-2</c:v>
                </c:pt>
                <c:pt idx="4">
                  <c:v>2.7384411403026655E-2</c:v>
                </c:pt>
                <c:pt idx="5">
                  <c:v>1.9140779330525885E-2</c:v>
                </c:pt>
                <c:pt idx="6">
                  <c:v>1.46221305329719E-2</c:v>
                </c:pt>
                <c:pt idx="7">
                  <c:v>1.6794415042997234E-2</c:v>
                </c:pt>
                <c:pt idx="8">
                  <c:v>2.04731955448379E-2</c:v>
                </c:pt>
                <c:pt idx="9">
                  <c:v>1.4491697769094774E-2</c:v>
                </c:pt>
                <c:pt idx="10">
                  <c:v>1.0252267417069567E-2</c:v>
                </c:pt>
                <c:pt idx="11">
                  <c:v>1.3786430637588736E-2</c:v>
                </c:pt>
                <c:pt idx="12">
                  <c:v>6.6593182416425367E-3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2092-4514-9C99-37FBBBCA2FB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4G Share</c:v>
                </c:pt>
              </c:strCache>
            </c:strRef>
          </c:tx>
          <c:marker>
            <c:symbol val="none"/>
          </c:marker>
          <c:dLbls>
            <c:dLbl>
              <c:idx val="6"/>
              <c:layout>
                <c:manualLayout>
                  <c:x val="-6.9657087087940717E-2"/>
                  <c:y val="-3.8529183852018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F53-4F7E-BB14-1D0F1BE5961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Sheet1!$A$2:$A$14</c:f>
              <c:strCache>
                <c:ptCount val="13"/>
                <c:pt idx="0">
                  <c:v>15M4</c:v>
                </c:pt>
                <c:pt idx="1">
                  <c:v>15M5</c:v>
                </c:pt>
                <c:pt idx="2">
                  <c:v>15M6</c:v>
                </c:pt>
                <c:pt idx="3">
                  <c:v>15M7</c:v>
                </c:pt>
                <c:pt idx="4">
                  <c:v>15M8</c:v>
                </c:pt>
                <c:pt idx="5">
                  <c:v>15M9</c:v>
                </c:pt>
                <c:pt idx="6">
                  <c:v>15M10</c:v>
                </c:pt>
                <c:pt idx="7">
                  <c:v>15M11</c:v>
                </c:pt>
                <c:pt idx="8">
                  <c:v>15M12</c:v>
                </c:pt>
                <c:pt idx="9">
                  <c:v>16M1</c:v>
                </c:pt>
                <c:pt idx="10">
                  <c:v>16M2</c:v>
                </c:pt>
                <c:pt idx="11">
                  <c:v>16M3</c:v>
                </c:pt>
                <c:pt idx="12">
                  <c:v>16M4</c:v>
                </c:pt>
              </c:strCache>
            </c:strRef>
          </c:cat>
          <c:val>
            <c:numRef>
              <c:f>Sheet1!$E$2:$E$14</c:f>
              <c:numCache>
                <c:formatCode>0%</c:formatCode>
                <c:ptCount val="13"/>
                <c:pt idx="0">
                  <c:v>0.83829567589193676</c:v>
                </c:pt>
                <c:pt idx="1">
                  <c:v>0.8565955072978374</c:v>
                </c:pt>
                <c:pt idx="2">
                  <c:v>0.85300523080541635</c:v>
                </c:pt>
                <c:pt idx="3">
                  <c:v>0.869082803695017</c:v>
                </c:pt>
                <c:pt idx="4">
                  <c:v>0.85925182877297901</c:v>
                </c:pt>
                <c:pt idx="5">
                  <c:v>0.86812915833855686</c:v>
                </c:pt>
                <c:pt idx="6">
                  <c:v>0.87674367674944997</c:v>
                </c:pt>
                <c:pt idx="7">
                  <c:v>0.87122605165364841</c:v>
                </c:pt>
                <c:pt idx="8">
                  <c:v>0.89013120105290477</c:v>
                </c:pt>
                <c:pt idx="9">
                  <c:v>0.89188701118229929</c:v>
                </c:pt>
                <c:pt idx="10">
                  <c:v>0.91626243234287374</c:v>
                </c:pt>
                <c:pt idx="11">
                  <c:v>0.89961622872904712</c:v>
                </c:pt>
                <c:pt idx="12">
                  <c:v>0.9320661217237618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2092-4514-9C99-37FBBBCA2F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5168368"/>
        <c:axId val="475167808"/>
      </c:lineChart>
      <c:catAx>
        <c:axId val="463398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800"/>
            </a:pPr>
            <a:endParaRPr lang="zh-CN"/>
          </a:p>
        </c:txPr>
        <c:crossAx val="463397040"/>
        <c:crosses val="autoZero"/>
        <c:auto val="1"/>
        <c:lblAlgn val="ctr"/>
        <c:lblOffset val="100"/>
        <c:noMultiLvlLbl val="0"/>
      </c:catAx>
      <c:valAx>
        <c:axId val="46339704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zh-CN"/>
          </a:p>
        </c:txPr>
        <c:crossAx val="463398160"/>
        <c:crosses val="autoZero"/>
        <c:crossBetween val="between"/>
      </c:valAx>
      <c:valAx>
        <c:axId val="475167808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crossAx val="475168368"/>
        <c:crosses val="max"/>
        <c:crossBetween val="between"/>
      </c:valAx>
      <c:catAx>
        <c:axId val="475168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75167808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603827206162987"/>
          <c:y val="2.1544167047378462E-2"/>
          <c:w val="0.56758042828539046"/>
          <c:h val="0.8658991516845376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C5-497E-BEB6-301AF7D8C8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C5-497E-BEB6-301AF7D8C8A4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Local Brands</c:v>
                </c:pt>
                <c:pt idx="1">
                  <c:v>MNC Brands</c:v>
                </c:pt>
              </c:strCache>
            </c:strRef>
          </c:cat>
          <c:val>
            <c:numRef>
              <c:f>Sheet1!$B$2:$B$3</c:f>
              <c:numCache>
                <c:formatCode>0.0</c:formatCode>
                <c:ptCount val="2"/>
                <c:pt idx="0">
                  <c:v>3823.6934999999999</c:v>
                </c:pt>
                <c:pt idx="1">
                  <c:v>431.18650000000002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CC5-497E-BEB6-301AF7D8C8A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6AAB2A-A4AE-4BA2-9335-55D76104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487</Words>
  <Characters>2777</Characters>
  <Application>Microsoft Office Word</Application>
  <DocSecurity>0</DocSecurity>
  <Lines>23</Lines>
  <Paragraphs>6</Paragraphs>
  <ScaleCrop>false</ScaleCrop>
  <Company>User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王伟华</cp:lastModifiedBy>
  <cp:revision>7</cp:revision>
  <dcterms:created xsi:type="dcterms:W3CDTF">2016-04-11T02:40:00Z</dcterms:created>
  <dcterms:modified xsi:type="dcterms:W3CDTF">2016-05-10T00:44:00Z</dcterms:modified>
</cp:coreProperties>
</file>