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b/>
          <w:bCs/>
          <w:sz w:val="32"/>
          <w:szCs w:val="32"/>
          <w:lang w:val="en-US" w:eastAsia="zh-CN"/>
        </w:rPr>
      </w:pPr>
      <w:bookmarkStart w:id="0" w:name="_GoBack"/>
      <w:r>
        <w:rPr>
          <w:rFonts w:hint="eastAsia" w:ascii="微软雅黑" w:hAnsi="微软雅黑" w:eastAsia="微软雅黑"/>
          <w:b/>
          <w:bCs/>
          <w:sz w:val="32"/>
          <w:szCs w:val="32"/>
          <w:lang w:val="en-US" w:eastAsia="zh-Hans"/>
        </w:rPr>
        <w:t>高质量数字化转型产品及服务全景图</w:t>
      </w:r>
      <w:r>
        <w:rPr>
          <w:rFonts w:hint="eastAsia" w:ascii="微软雅黑" w:hAnsi="微软雅黑" w:eastAsia="微软雅黑"/>
          <w:b/>
          <w:bCs/>
          <w:sz w:val="32"/>
          <w:szCs w:val="32"/>
          <w:lang w:val="en-US" w:eastAsia="zh-CN"/>
        </w:rPr>
        <w:t>（2022）</w:t>
      </w:r>
    </w:p>
    <w:p>
      <w:pPr>
        <w:spacing w:line="240" w:lineRule="auto"/>
        <w:jc w:val="center"/>
        <w:rPr>
          <w:rFonts w:hint="eastAsia" w:ascii="微软雅黑" w:hAnsi="微软雅黑" w:eastAsia="微软雅黑"/>
          <w:b/>
          <w:bCs/>
          <w:sz w:val="32"/>
          <w:szCs w:val="32"/>
        </w:rPr>
      </w:pPr>
      <w:r>
        <w:rPr>
          <w:rFonts w:hint="eastAsia" w:ascii="微软雅黑" w:hAnsi="微软雅黑" w:eastAsia="微软雅黑"/>
          <w:b/>
          <w:bCs/>
          <w:sz w:val="32"/>
          <w:szCs w:val="32"/>
        </w:rPr>
        <w:t>申请表</w:t>
      </w:r>
    </w:p>
    <w:bookmarkEnd w:id="0"/>
    <w:p>
      <w:pPr>
        <w:pStyle w:val="2"/>
        <w:spacing w:before="100" w:line="240" w:lineRule="auto"/>
        <w:jc w:val="center"/>
        <w:rPr>
          <w:rFonts w:eastAsia="仿宋"/>
          <w:sz w:val="21"/>
          <w:szCs w:val="21"/>
        </w:rPr>
      </w:pPr>
      <w:r>
        <w:rPr>
          <w:rFonts w:hint="eastAsia" w:ascii="仿宋" w:hAnsi="仿宋" w:eastAsia="仿宋"/>
          <w:sz w:val="21"/>
          <w:szCs w:val="21"/>
        </w:rPr>
        <w:t>（企业申请加入“</w:t>
      </w:r>
      <w:r>
        <w:rPr>
          <w:rFonts w:hint="eastAsia" w:ascii="仿宋" w:hAnsi="仿宋" w:eastAsia="仿宋"/>
          <w:sz w:val="21"/>
          <w:szCs w:val="21"/>
          <w:lang w:val="en-US" w:eastAsia="zh-Hans"/>
        </w:rPr>
        <w:t>全景图</w:t>
      </w:r>
      <w:r>
        <w:rPr>
          <w:rFonts w:hint="eastAsia" w:ascii="仿宋" w:hAnsi="仿宋" w:eastAsia="仿宋"/>
          <w:sz w:val="21"/>
          <w:szCs w:val="21"/>
        </w:rPr>
        <w:t>”无任何费用）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483"/>
        <w:gridCol w:w="282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7" w:type="dxa"/>
            <w:gridSpan w:val="4"/>
            <w:shd w:val="clear" w:color="auto" w:fill="CFCECE" w:themeFill="background2" w:themeFillShade="E5"/>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lang w:val="en-US" w:eastAsia="zh-Hans"/>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gridSpan w:val="2"/>
            <w:vAlign w:val="center"/>
          </w:tcPr>
          <w:p>
            <w:pPr>
              <w:spacing w:line="240" w:lineRule="auto"/>
              <w:jc w:val="center"/>
              <w:rPr>
                <w:rFonts w:hint="eastAsia" w:ascii="微软雅黑" w:hAnsi="微软雅黑" w:eastAsia="微软雅黑"/>
                <w:sz w:val="18"/>
                <w:szCs w:val="18"/>
              </w:rPr>
            </w:pPr>
            <w:r>
              <w:rPr>
                <w:rFonts w:hint="eastAsia" w:ascii="微软雅黑" w:hAnsi="微软雅黑" w:eastAsia="微软雅黑"/>
                <w:sz w:val="18"/>
                <w:szCs w:val="18"/>
              </w:rPr>
              <w:t>单位全称</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gridSpan w:val="2"/>
            <w:vAlign w:val="center"/>
          </w:tcPr>
          <w:p>
            <w:pPr>
              <w:spacing w:line="240" w:lineRule="auto"/>
              <w:jc w:val="center"/>
              <w:rPr>
                <w:rFonts w:ascii="微软雅黑" w:hAnsi="微软雅黑" w:eastAsia="微软雅黑"/>
                <w:sz w:val="18"/>
                <w:szCs w:val="18"/>
              </w:rPr>
            </w:pPr>
            <w:r>
              <w:rPr>
                <w:rFonts w:hint="eastAsia" w:ascii="微软雅黑" w:hAnsi="微软雅黑" w:eastAsia="微软雅黑"/>
                <w:sz w:val="18"/>
                <w:szCs w:val="18"/>
              </w:rPr>
              <w:t>联系地址</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lang w:val="en-US" w:eastAsia="zh-Hans"/>
              </w:rPr>
              <w:t>对接人</w:t>
            </w:r>
          </w:p>
        </w:tc>
        <w:tc>
          <w:tcPr>
            <w:tcW w:w="1483" w:type="dxa"/>
            <w:vAlign w:val="center"/>
          </w:tcPr>
          <w:p>
            <w:pPr>
              <w:spacing w:line="240" w:lineRule="auto"/>
              <w:jc w:val="center"/>
              <w:rPr>
                <w:rFonts w:ascii="微软雅黑" w:hAnsi="微软雅黑" w:eastAsia="微软雅黑"/>
                <w:sz w:val="18"/>
                <w:szCs w:val="18"/>
              </w:rPr>
            </w:pPr>
          </w:p>
        </w:tc>
        <w:tc>
          <w:tcPr>
            <w:tcW w:w="2825" w:type="dxa"/>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lang w:val="en-US" w:eastAsia="zh-Hans"/>
              </w:rPr>
              <w:t>职务</w:t>
            </w:r>
          </w:p>
        </w:tc>
        <w:tc>
          <w:tcPr>
            <w:tcW w:w="2195" w:type="dxa"/>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14" w:type="dxa"/>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lang w:val="en-US" w:eastAsia="zh-Hans"/>
              </w:rPr>
              <w:t>联系电话</w:t>
            </w:r>
          </w:p>
        </w:tc>
        <w:tc>
          <w:tcPr>
            <w:tcW w:w="1483" w:type="dxa"/>
            <w:vAlign w:val="center"/>
          </w:tcPr>
          <w:p>
            <w:pPr>
              <w:spacing w:line="240" w:lineRule="auto"/>
              <w:jc w:val="center"/>
              <w:rPr>
                <w:rFonts w:hint="eastAsia" w:ascii="微软雅黑" w:hAnsi="微软雅黑" w:eastAsia="微软雅黑"/>
                <w:sz w:val="18"/>
                <w:szCs w:val="18"/>
                <w:lang w:val="en-US" w:eastAsia="zh-Hans"/>
              </w:rPr>
            </w:pPr>
          </w:p>
        </w:tc>
        <w:tc>
          <w:tcPr>
            <w:tcW w:w="2825" w:type="dxa"/>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lang w:val="en-US" w:eastAsia="zh-Hans"/>
              </w:rPr>
              <w:t>联系邮箱</w:t>
            </w:r>
          </w:p>
        </w:tc>
        <w:tc>
          <w:tcPr>
            <w:tcW w:w="2195" w:type="dxa"/>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97" w:type="dxa"/>
            <w:gridSpan w:val="2"/>
            <w:vAlign w:val="center"/>
          </w:tcPr>
          <w:p>
            <w:pPr>
              <w:spacing w:line="240" w:lineRule="auto"/>
              <w:jc w:val="center"/>
              <w:rPr>
                <w:rFonts w:ascii="微软雅黑" w:hAnsi="微软雅黑" w:eastAsia="微软雅黑"/>
                <w:sz w:val="18"/>
                <w:szCs w:val="18"/>
              </w:rPr>
            </w:pPr>
            <w:r>
              <w:rPr>
                <w:rFonts w:hint="eastAsia" w:ascii="微软雅黑" w:hAnsi="微软雅黑" w:eastAsia="微软雅黑"/>
                <w:sz w:val="18"/>
                <w:szCs w:val="18"/>
                <w:lang w:val="en-US" w:eastAsia="zh-Hans"/>
              </w:rPr>
              <w:t>企业品牌</w:t>
            </w:r>
            <w:r>
              <w:rPr>
                <w:rFonts w:hint="eastAsia" w:ascii="微软雅黑" w:hAnsi="微软雅黑" w:eastAsia="微软雅黑"/>
                <w:sz w:val="18"/>
                <w:szCs w:val="18"/>
                <w:lang w:val="en-US" w:eastAsia="zh-CN"/>
              </w:rPr>
              <w:t>/市场</w:t>
            </w:r>
            <w:r>
              <w:rPr>
                <w:rFonts w:hint="eastAsia" w:ascii="微软雅黑" w:hAnsi="微软雅黑" w:eastAsia="微软雅黑"/>
                <w:sz w:val="18"/>
                <w:szCs w:val="18"/>
                <w:lang w:val="en-US" w:eastAsia="zh-Hans"/>
              </w:rPr>
              <w:t>总负责人</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397" w:type="dxa"/>
            <w:gridSpan w:val="2"/>
            <w:vAlign w:val="center"/>
          </w:tcPr>
          <w:p>
            <w:pPr>
              <w:spacing w:line="240" w:lineRule="auto"/>
              <w:jc w:val="center"/>
              <w:rPr>
                <w:rFonts w:ascii="微软雅黑" w:hAnsi="微软雅黑" w:eastAsia="微软雅黑"/>
                <w:sz w:val="18"/>
                <w:szCs w:val="18"/>
              </w:rPr>
            </w:pPr>
            <w:r>
              <w:rPr>
                <w:rFonts w:hint="eastAsia" w:ascii="微软雅黑" w:hAnsi="微软雅黑" w:eastAsia="微软雅黑"/>
                <w:sz w:val="18"/>
                <w:szCs w:val="18"/>
              </w:rPr>
              <w:t>联系电话</w:t>
            </w:r>
          </w:p>
          <w:p>
            <w:pPr>
              <w:spacing w:line="240" w:lineRule="auto"/>
              <w:jc w:val="center"/>
              <w:rPr>
                <w:rFonts w:ascii="微软雅黑" w:hAnsi="微软雅黑" w:eastAsia="微软雅黑"/>
                <w:sz w:val="18"/>
                <w:szCs w:val="18"/>
              </w:rPr>
            </w:pPr>
            <w:r>
              <w:rPr>
                <w:rFonts w:hint="eastAsia" w:ascii="微软雅黑" w:hAnsi="微软雅黑" w:eastAsia="微软雅黑"/>
                <w:sz w:val="18"/>
                <w:szCs w:val="18"/>
              </w:rPr>
              <w:t>（请填写手机号，后期涉及访谈）</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7" w:type="dxa"/>
            <w:gridSpan w:val="4"/>
            <w:shd w:val="clear" w:color="auto" w:fill="CFCECE" w:themeFill="background2" w:themeFillShade="E5"/>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lang w:val="en-US" w:eastAsia="zh-Hans"/>
              </w:rPr>
              <w:t>业务介绍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397" w:type="dxa"/>
            <w:gridSpan w:val="2"/>
            <w:vAlign w:val="center"/>
          </w:tcPr>
          <w:p>
            <w:pPr>
              <w:spacing w:line="240" w:lineRule="auto"/>
              <w:jc w:val="center"/>
              <w:rPr>
                <w:rFonts w:hint="default" w:ascii="微软雅黑" w:hAnsi="微软雅黑" w:eastAsia="微软雅黑"/>
                <w:sz w:val="18"/>
                <w:szCs w:val="18"/>
                <w:lang w:val="en-US" w:eastAsia="zh-Hans"/>
              </w:rPr>
            </w:pPr>
            <w:r>
              <w:rPr>
                <w:rFonts w:hint="eastAsia" w:ascii="微软雅黑" w:hAnsi="微软雅黑" w:eastAsia="微软雅黑"/>
                <w:sz w:val="18"/>
                <w:szCs w:val="18"/>
              </w:rPr>
              <w:t>业务</w:t>
            </w:r>
            <w:r>
              <w:rPr>
                <w:rFonts w:hint="eastAsia" w:ascii="微软雅黑" w:hAnsi="微软雅黑" w:eastAsia="微软雅黑"/>
                <w:sz w:val="18"/>
                <w:szCs w:val="18"/>
                <w:lang w:val="en-US" w:eastAsia="zh-Hans"/>
              </w:rPr>
              <w:t>及产品简介</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397" w:type="dxa"/>
            <w:gridSpan w:val="2"/>
            <w:vAlign w:val="center"/>
          </w:tcPr>
          <w:p>
            <w:pPr>
              <w:spacing w:line="240" w:lineRule="auto"/>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rPr>
              <w:t>数字化转型领域沉淀了哪些行业实践</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397" w:type="dxa"/>
            <w:gridSpan w:val="2"/>
            <w:vAlign w:val="center"/>
          </w:tcPr>
          <w:p>
            <w:pPr>
              <w:spacing w:line="240" w:lineRule="auto"/>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数字化转型产品及服务案例</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397" w:type="dxa"/>
            <w:gridSpan w:val="2"/>
            <w:vAlign w:val="center"/>
          </w:tcPr>
          <w:p>
            <w:pPr>
              <w:spacing w:line="240" w:lineRule="auto"/>
              <w:jc w:val="center"/>
              <w:rPr>
                <w:rFonts w:ascii="微软雅黑" w:hAnsi="微软雅黑" w:eastAsia="微软雅黑"/>
                <w:sz w:val="18"/>
                <w:szCs w:val="18"/>
              </w:rPr>
            </w:pPr>
            <w:r>
              <w:rPr>
                <w:rFonts w:hint="eastAsia" w:ascii="微软雅黑" w:hAnsi="微软雅黑" w:eastAsia="微软雅黑"/>
                <w:sz w:val="18"/>
                <w:szCs w:val="18"/>
              </w:rPr>
              <w:t>在数字化转型（或者提供数字化转型产品及服务）过程中遇到的痛点问题</w:t>
            </w:r>
          </w:p>
        </w:tc>
        <w:tc>
          <w:tcPr>
            <w:tcW w:w="5020" w:type="dxa"/>
            <w:gridSpan w:val="2"/>
            <w:vAlign w:val="center"/>
          </w:tcPr>
          <w:p>
            <w:pPr>
              <w:spacing w:line="240" w:lineRule="auto"/>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397" w:type="dxa"/>
            <w:gridSpan w:val="2"/>
            <w:vAlign w:val="center"/>
          </w:tcPr>
          <w:p>
            <w:pPr>
              <w:spacing w:line="240" w:lineRule="auto"/>
              <w:jc w:val="center"/>
              <w:rPr>
                <w:rFonts w:ascii="微软雅黑" w:hAnsi="微软雅黑" w:eastAsia="微软雅黑"/>
                <w:sz w:val="18"/>
                <w:szCs w:val="18"/>
              </w:rPr>
            </w:pPr>
            <w:r>
              <w:rPr>
                <w:rFonts w:hint="eastAsia" w:ascii="微软雅黑" w:hAnsi="微软雅黑" w:eastAsia="微软雅黑"/>
                <w:sz w:val="18"/>
                <w:szCs w:val="18"/>
              </w:rPr>
              <w:t>对“铸基计划</w:t>
            </w:r>
            <w:r>
              <w:rPr>
                <w:rFonts w:ascii="微软雅黑" w:hAnsi="微软雅黑" w:eastAsia="微软雅黑"/>
                <w:sz w:val="18"/>
                <w:szCs w:val="18"/>
              </w:rPr>
              <w:t>”</w:t>
            </w:r>
            <w:r>
              <w:rPr>
                <w:rFonts w:hint="eastAsia" w:ascii="微软雅黑" w:hAnsi="微软雅黑" w:eastAsia="微软雅黑"/>
                <w:sz w:val="18"/>
                <w:szCs w:val="18"/>
              </w:rPr>
              <w:t>工作的期望</w:t>
            </w:r>
          </w:p>
        </w:tc>
        <w:tc>
          <w:tcPr>
            <w:tcW w:w="5020" w:type="dxa"/>
            <w:gridSpan w:val="2"/>
            <w:vAlign w:val="center"/>
          </w:tcPr>
          <w:p>
            <w:pPr>
              <w:spacing w:line="240" w:lineRule="auto"/>
              <w:jc w:val="center"/>
              <w:rPr>
                <w:rFonts w:ascii="微软雅黑" w:hAnsi="微软雅黑" w:eastAsia="微软雅黑"/>
                <w:sz w:val="18"/>
                <w:szCs w:val="18"/>
              </w:rPr>
            </w:pPr>
          </w:p>
          <w:p>
            <w:pPr>
              <w:spacing w:line="240" w:lineRule="auto"/>
              <w:jc w:val="center"/>
              <w:rPr>
                <w:rFonts w:hint="eastAsia" w:ascii="微软雅黑" w:hAnsi="微软雅黑" w:eastAsia="微软雅黑"/>
                <w:sz w:val="18"/>
                <w:szCs w:val="18"/>
              </w:rPr>
            </w:pPr>
          </w:p>
          <w:p>
            <w:pPr>
              <w:spacing w:line="240" w:lineRule="auto"/>
              <w:jc w:val="center"/>
              <w:rPr>
                <w:rFonts w:hint="default" w:ascii="微软雅黑" w:hAnsi="微软雅黑" w:eastAsia="微软雅黑"/>
                <w:sz w:val="18"/>
                <w:szCs w:val="18"/>
              </w:rPr>
            </w:pPr>
            <w:r>
              <w:rPr>
                <w:rFonts w:hint="default" w:ascii="微软雅黑" w:hAnsi="微软雅黑" w:eastAsia="微软雅黑"/>
                <w:sz w:val="18"/>
                <w:szCs w:val="18"/>
              </w:rPr>
              <w:t xml:space="preserve">                     </w:t>
            </w:r>
          </w:p>
          <w:p>
            <w:pPr>
              <w:spacing w:line="240" w:lineRule="auto"/>
              <w:jc w:val="center"/>
              <w:rPr>
                <w:rFonts w:ascii="微软雅黑" w:hAnsi="微软雅黑" w:eastAsia="微软雅黑"/>
                <w:sz w:val="18"/>
                <w:szCs w:val="18"/>
              </w:rPr>
            </w:pPr>
            <w:r>
              <w:rPr>
                <w:rFonts w:hint="default" w:ascii="微软雅黑" w:hAnsi="微软雅黑" w:eastAsia="微软雅黑"/>
                <w:sz w:val="18"/>
                <w:szCs w:val="18"/>
              </w:rPr>
              <w:t xml:space="preserve">                       </w:t>
            </w:r>
            <w:r>
              <w:rPr>
                <w:rFonts w:hint="eastAsia" w:ascii="微软雅黑" w:hAnsi="微软雅黑" w:eastAsia="微软雅黑"/>
                <w:sz w:val="18"/>
                <w:szCs w:val="18"/>
              </w:rPr>
              <w:t>（填写完毕后请在此处加盖公章）</w:t>
            </w:r>
          </w:p>
        </w:tc>
      </w:tr>
    </w:tbl>
    <w:p>
      <w:pPr>
        <w:jc w:val="right"/>
        <w:rPr>
          <w:rFonts w:hint="eastAsia" w:ascii="仿宋" w:hAnsi="仿宋" w:eastAsia="仿宋"/>
          <w:sz w:val="22"/>
          <w:szCs w:val="24"/>
        </w:rPr>
      </w:pPr>
      <w:r>
        <w:rPr>
          <w:rFonts w:hint="eastAsia" w:ascii="仿宋" w:hAnsi="仿宋" w:eastAsia="仿宋"/>
          <w:sz w:val="22"/>
          <w:szCs w:val="24"/>
        </w:rPr>
        <w:t>请将申请表盖章扫描件传至邮箱：nbd@caict.ac.cn</w:t>
      </w:r>
    </w:p>
    <w:p/>
    <w:p/>
    <w:p>
      <w:pPr>
        <w:pStyle w:val="5"/>
        <w:adjustRightInd w:val="0"/>
        <w:snapToGrid w:val="0"/>
        <w:spacing w:before="0" w:beforeAutospacing="0" w:after="0" w:afterAutospacing="0" w:line="560" w:lineRule="exact"/>
        <w:jc w:val="center"/>
        <w:rPr>
          <w:rFonts w:hint="eastAsia" w:ascii="仿宋" w:hAnsi="仿宋" w:eastAsia="仿宋"/>
          <w:b/>
          <w:bCs/>
          <w:color w:val="000000"/>
          <w:sz w:val="44"/>
          <w:szCs w:val="44"/>
        </w:rPr>
      </w:pPr>
    </w:p>
    <w:p>
      <w:pPr>
        <w:pStyle w:val="5"/>
        <w:adjustRightInd w:val="0"/>
        <w:snapToGrid w:val="0"/>
        <w:spacing w:before="0" w:beforeAutospacing="0" w:after="0" w:afterAutospacing="0" w:line="560" w:lineRule="exact"/>
        <w:jc w:val="center"/>
        <w:rPr>
          <w:rFonts w:hint="eastAsia" w:ascii="仿宋" w:hAnsi="仿宋" w:eastAsia="仿宋"/>
          <w:b/>
          <w:bCs/>
          <w:color w:val="000000"/>
          <w:sz w:val="44"/>
          <w:szCs w:val="44"/>
        </w:rPr>
      </w:pPr>
    </w:p>
    <w:p>
      <w:pPr>
        <w:pStyle w:val="5"/>
        <w:adjustRightInd w:val="0"/>
        <w:snapToGrid w:val="0"/>
        <w:spacing w:before="0" w:beforeAutospacing="0" w:after="0" w:afterAutospacing="0" w:line="560" w:lineRule="exact"/>
        <w:jc w:val="center"/>
        <w:rPr>
          <w:rFonts w:hint="eastAsia" w:ascii="仿宋" w:hAnsi="仿宋" w:eastAsia="仿宋"/>
          <w:b/>
          <w:bCs/>
          <w:color w:val="000000"/>
          <w:sz w:val="44"/>
          <w:szCs w:val="44"/>
        </w:rPr>
      </w:pPr>
    </w:p>
    <w:p>
      <w:pPr>
        <w:pStyle w:val="5"/>
        <w:adjustRightInd w:val="0"/>
        <w:snapToGrid w:val="0"/>
        <w:spacing w:before="0" w:beforeAutospacing="0" w:after="0" w:afterAutospacing="0" w:line="560" w:lineRule="exact"/>
        <w:jc w:val="center"/>
        <w:rPr>
          <w:rFonts w:hint="eastAsia" w:ascii="仿宋" w:hAnsi="仿宋" w:eastAsia="仿宋"/>
          <w:b/>
          <w:bCs/>
          <w:color w:val="000000"/>
          <w:sz w:val="44"/>
          <w:szCs w:val="44"/>
        </w:rPr>
      </w:pPr>
    </w:p>
    <w:p>
      <w:pPr>
        <w:pStyle w:val="5"/>
        <w:adjustRightInd w:val="0"/>
        <w:snapToGrid w:val="0"/>
        <w:spacing w:before="0" w:beforeAutospacing="0" w:after="0" w:afterAutospacing="0" w:line="560" w:lineRule="exact"/>
        <w:jc w:val="center"/>
        <w:rPr>
          <w:rFonts w:ascii="仿宋" w:hAnsi="仿宋" w:eastAsia="仿宋"/>
          <w:b/>
          <w:bCs/>
          <w:color w:val="000000"/>
          <w:sz w:val="44"/>
          <w:szCs w:val="44"/>
        </w:rPr>
      </w:pPr>
      <w:r>
        <w:rPr>
          <w:rFonts w:hint="eastAsia" w:ascii="仿宋" w:hAnsi="仿宋" w:eastAsia="仿宋"/>
          <w:b/>
          <w:bCs/>
          <w:color w:val="000000"/>
          <w:sz w:val="44"/>
          <w:szCs w:val="44"/>
        </w:rPr>
        <w:t>中国信通院-铸基计划</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当前，随着新技术、新业态的层出不穷，产业发展的规律性减弱趋势明显，复杂性、随机性、突发性的问题增多，给企业带来了诸多不确定性挑战。同时，5G、人工智能、大数据、区块链等新一代信息通信技术不断涌现，在相关领域展现了一定的优势。但新型数字技术与传统行业简单叠加，已经不能满足传统垂直行业的需求，企业数字化转型正在进入“深水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在需求侧，传统企业已经认识到数字化转型的重要性，着手制定数字化转型的战略及计划，但仍存在着对数字化转型认知不全面、策略不明确、执行不到位、效果不明显等诸多问题。同时，作为需求方，面对市场上数字化转型种类繁多的产品，难以判断其产品及服务能力，这在一定程度上阻碍了企业数字化转型的进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在供给侧，功能的差异化成为企业服务产品的核心竞争力。但各细分领域产品在安全、互联互通、自研能力、性能等方面缺乏相关标准及行业指引，导致产品在开发阶段缺乏根本遵循。这也导致，需求侧选型时在对产品功能研判的同时，也对产品在上述领域的表现存在困惑和顾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为更好地解决上述问题，中国信息通信研究院（以下简称“中国信通院”）于2021年正式发起“铸基计划-高质量数字化转型行动”。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中国信通院"铸基计划”专注于企业数字化转型中面临的痛点、难点问题，利用中国信通院在数字技术领域的深入理解，通过链接数字化转型供给侧和需求侧，助推数字化转型高质量发展。在供给侧，“铸基计划”专注于企业服务方案及产品领域，通过对上述产品及服务在功能、性能、安全、自研度等方面的标准制定及测试测评，打造高质量数字化转型产品服务名录及行业标杆。在需求侧，“铸基计划”专注于金融、政务、体育等垂直领域的数字化转型成熟度评价、咨询及规划，依托中国信通院在架构数字化、服务数字化、业务数字化、商业数字化、生态数字化的深入积累和理解帮助垂直行业更好的数字化转型，打造高质量数字化转型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铸基计划”自发起以来，专注于供给侧企业服务产品及服务的标准化工作。在办公即时通信软件、5G消息、组装式应用、数据库等领域联合行业内头部企业开展了相关标准制定工作。参与标准制定的企业包括中国移动、中国联通、中国电信、华为、用友、阿里、腾讯、字节跳动、百度、网易、中兴、360、科大讯飞、致远互联、亿联等行业知名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在标准基础之上，中国信通院“铸基计划”建立了对于供给侧的“数字化转型解决方案评价体系”及对于需求侧的“数字企业成熟度评价体系”，并组织了专家进行了研讨及评审，完善了相关方案。具体而言：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在供给侧，“数字化转型解决方案评价体系”包含数字化基座适配，数字化技术手段，数字化原子场景，数字化解决方案，数字化生态合作，数字化行业实践，数字化价值提升等7大数字化评价维度及安全保障、实施保障两大保障评价维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在需求侧，“数字企业成熟度评价体系”包含了架构数字化、服务数字化、业务数字化、商业数字化、生态数字化等6大维度及数十项具体评估指标。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基于前期技术标准和评价体系制定的基础上，中国信通院针对重点领域数字化转型解决方案开发了多项测试测评项目，帮助供给方更好地提升产品竞争力，为需求方企业选型提供参考。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同时，针对有数字化转型的需求企业，中国信通院“铸基计划”集中院内优势，组织开发了数字企业成熟度评价、咨询、规划及生态赋能等多项服务，助力企业高质量发展，现已在多家企业初步开展相关工作。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0"/>
        </w:rPr>
      </w:pPr>
      <w:r>
        <w:rPr>
          <w:sz w:val="21"/>
          <w:szCs w:val="20"/>
        </w:rPr>
        <w:t>通过中国信通院“铸基计划”测评后的产品及服务将获得中国信通院“铸基计划”-高质量数字化转型测评证书。同时，相关产品和企业也将入选中国信通院“铸基计划”-高质量数字化转型解决方案名录及精选案例。并在2022年底举办的“铸基2022-数字化转型高峰论坛”及“洞见2023-数字化转型展望论坛”上进行发布。</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308100" cy="1859915"/>
            <wp:effectExtent l="0" t="0" r="6350" b="698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308100" cy="185991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0"/>
        </w:rPr>
      </w:pPr>
      <w:r>
        <w:rPr>
          <w:rFonts w:hint="eastAsia"/>
          <w:sz w:val="21"/>
          <w:szCs w:val="20"/>
          <w:lang w:val="en-US" w:eastAsia="zh-CN"/>
        </w:rPr>
        <w:t xml:space="preserve">图 </w:t>
      </w:r>
      <w:r>
        <w:rPr>
          <w:sz w:val="21"/>
          <w:szCs w:val="20"/>
        </w:rPr>
        <w:t>铸基计划-高质量数字化转型测评证书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仿宋" w:hAnsi="仿宋" w:eastAsia="仿宋"/>
      </w:rPr>
      <w:drawing>
        <wp:inline distT="0" distB="0" distL="114300" distR="114300">
          <wp:extent cx="1706880" cy="201295"/>
          <wp:effectExtent l="0" t="0" r="20320" b="1905"/>
          <wp:docPr id="3" name="图片 3" descr="中国信通院LOGO标志图（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信通院LOGO标志图（横版）"/>
                  <pic:cNvPicPr>
                    <a:picLocks noChangeAspect="1"/>
                  </pic:cNvPicPr>
                </pic:nvPicPr>
                <pic:blipFill>
                  <a:blip r:embed="rId1"/>
                  <a:stretch>
                    <a:fillRect/>
                  </a:stretch>
                </pic:blipFill>
                <pic:spPr>
                  <a:xfrm>
                    <a:off x="0" y="0"/>
                    <a:ext cx="1706880" cy="201295"/>
                  </a:xfrm>
                  <a:prstGeom prst="rect">
                    <a:avLst/>
                  </a:prstGeom>
                </pic:spPr>
              </pic:pic>
            </a:graphicData>
          </a:graphic>
        </wp:inline>
      </w:drawing>
    </w:r>
    <w:r>
      <w:rPr>
        <w:rFonts w:hint="eastAsia" w:ascii="仿宋" w:hAnsi="仿宋" w:eastAsia="仿宋"/>
        <w:lang w:val="en-US" w:eastAsia="zh-CN"/>
      </w:rPr>
      <w:t xml:space="preserve">                                            </w:t>
    </w:r>
    <w:r>
      <w:rPr>
        <w:rFonts w:ascii="仿宋" w:hAnsi="仿宋" w:eastAsia="仿宋"/>
      </w:rPr>
      <w:drawing>
        <wp:inline distT="0" distB="0" distL="0" distR="0">
          <wp:extent cx="934720" cy="285115"/>
          <wp:effectExtent l="0" t="0" r="8255" b="63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2"/>
                  <a:stretch>
                    <a:fillRect/>
                  </a:stretch>
                </pic:blipFill>
                <pic:spPr>
                  <a:xfrm>
                    <a:off x="0" y="0"/>
                    <a:ext cx="934720" cy="2851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ZjhjZjg0YjZjYTYwOGFhYzM2NDI4OGZhN2JiM2YifQ=="/>
  </w:docVars>
  <w:rsids>
    <w:rsidRoot w:val="DFE97C3A"/>
    <w:rsid w:val="3C79719D"/>
    <w:rsid w:val="454328F6"/>
    <w:rsid w:val="46886202"/>
    <w:rsid w:val="DFE9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1738</Words>
  <Characters>1773</Characters>
  <Lines>0</Lines>
  <Paragraphs>0</Paragraphs>
  <TotalTime>1</TotalTime>
  <ScaleCrop>false</ScaleCrop>
  <LinksUpToDate>false</LinksUpToDate>
  <CharactersWithSpaces>1818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2022-06-20T11:06:00Z</dcterms:created>
  <dc:creator>wang</dc:creator>
  <cp:lastModifiedBy>吴荻</cp:lastModifiedBy>
  <dcterms:modified xsi:type="dcterms:W3CDTF">2022-06-21T04:37:04Z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20CEC759B83142B3AB3B6E0E1DB6A2A0</vt:lpwstr>
  </property>
</Properties>
</file>